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258F2" w14:textId="6BAECEA0" w:rsidR="009A0B47" w:rsidRPr="00BC38D5" w:rsidRDefault="009A0B47" w:rsidP="00C27D33">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sidR="00E500A6">
        <w:rPr>
          <w:rFonts w:ascii="Arial" w:hAnsi="Arial" w:cs="Arial"/>
          <w:sz w:val="24"/>
          <w:szCs w:val="24"/>
        </w:rPr>
        <w:t>#9</w:t>
      </w:r>
      <w:r w:rsidR="00872ED8">
        <w:rPr>
          <w:rFonts w:ascii="Arial" w:hAnsi="Arial" w:cs="Arial"/>
          <w:sz w:val="24"/>
          <w:szCs w:val="24"/>
        </w:rPr>
        <w:t>4</w:t>
      </w:r>
      <w:r w:rsidRPr="00BC38D5">
        <w:rPr>
          <w:rFonts w:ascii="Arial" w:hAnsi="Arial" w:cs="Arial"/>
          <w:sz w:val="24"/>
          <w:szCs w:val="24"/>
        </w:rPr>
        <w:tab/>
      </w:r>
      <w:r w:rsidR="00C27D33" w:rsidRPr="00C27D33">
        <w:rPr>
          <w:rFonts w:ascii="Arial" w:hAnsi="Arial" w:cs="Arial"/>
          <w:sz w:val="24"/>
          <w:szCs w:val="24"/>
        </w:rPr>
        <w:t>R1-1809397</w:t>
      </w:r>
    </w:p>
    <w:p w14:paraId="4D0B2945" w14:textId="41FC0C64" w:rsidR="009A0B47" w:rsidRPr="00F8324B" w:rsidRDefault="00FF2AE8" w:rsidP="00FF2AE8">
      <w:pPr>
        <w:spacing w:after="0"/>
        <w:rPr>
          <w:rFonts w:ascii="Arial" w:hAnsi="Arial" w:cs="Arial"/>
          <w:sz w:val="24"/>
          <w:szCs w:val="24"/>
        </w:rPr>
      </w:pPr>
      <w:r>
        <w:rPr>
          <w:rFonts w:ascii="Arial" w:hAnsi="Arial" w:cs="Arial"/>
          <w:sz w:val="24"/>
          <w:szCs w:val="24"/>
        </w:rPr>
        <w:t>Gothenburg</w:t>
      </w:r>
      <w:r w:rsidR="006C5135">
        <w:rPr>
          <w:rFonts w:ascii="Arial" w:hAnsi="Arial" w:cs="Arial"/>
          <w:sz w:val="24"/>
          <w:szCs w:val="24"/>
        </w:rPr>
        <w:t xml:space="preserve">, </w:t>
      </w:r>
      <w:r>
        <w:rPr>
          <w:rFonts w:ascii="Arial" w:hAnsi="Arial" w:cs="Arial"/>
          <w:sz w:val="24"/>
          <w:szCs w:val="24"/>
        </w:rPr>
        <w:t>Sweden</w:t>
      </w:r>
      <w:r w:rsidR="009A0B47">
        <w:rPr>
          <w:rFonts w:ascii="Arial" w:hAnsi="Arial" w:cs="Arial"/>
          <w:sz w:val="24"/>
          <w:szCs w:val="24"/>
        </w:rPr>
        <w:t xml:space="preserve">, </w:t>
      </w:r>
      <w:r w:rsidR="003573AC">
        <w:rPr>
          <w:rFonts w:ascii="Arial" w:hAnsi="Arial" w:cs="Arial"/>
          <w:sz w:val="24"/>
          <w:szCs w:val="24"/>
        </w:rPr>
        <w:t>2</w:t>
      </w:r>
      <w:r w:rsidR="00872ED8">
        <w:rPr>
          <w:rFonts w:ascii="Arial" w:hAnsi="Arial" w:cs="Arial"/>
          <w:sz w:val="24"/>
          <w:szCs w:val="24"/>
        </w:rPr>
        <w:t>0</w:t>
      </w:r>
      <w:r w:rsidR="003573AC">
        <w:rPr>
          <w:rFonts w:ascii="Arial" w:hAnsi="Arial" w:cs="Arial"/>
          <w:sz w:val="24"/>
          <w:szCs w:val="24"/>
          <w:vertAlign w:val="superscript"/>
        </w:rPr>
        <w:t>t</w:t>
      </w:r>
      <w:r w:rsidR="00872ED8">
        <w:rPr>
          <w:rFonts w:ascii="Arial" w:hAnsi="Arial" w:cs="Arial"/>
          <w:sz w:val="24"/>
          <w:szCs w:val="24"/>
          <w:vertAlign w:val="superscript"/>
        </w:rPr>
        <w:t>h</w:t>
      </w:r>
      <w:r w:rsidR="006C5135">
        <w:rPr>
          <w:rFonts w:ascii="Arial" w:hAnsi="Arial" w:cs="Arial"/>
          <w:sz w:val="24"/>
          <w:szCs w:val="24"/>
        </w:rPr>
        <w:t xml:space="preserve">– </w:t>
      </w:r>
      <w:r w:rsidR="00174CD5">
        <w:rPr>
          <w:rFonts w:ascii="Arial" w:hAnsi="Arial" w:cs="Arial"/>
          <w:sz w:val="24"/>
          <w:szCs w:val="24"/>
        </w:rPr>
        <w:t>2</w:t>
      </w:r>
      <w:r w:rsidR="00872ED8">
        <w:rPr>
          <w:rFonts w:ascii="Arial" w:hAnsi="Arial" w:cs="Arial"/>
          <w:sz w:val="24"/>
          <w:szCs w:val="24"/>
        </w:rPr>
        <w:t>4</w:t>
      </w:r>
      <w:r w:rsidR="00174CD5">
        <w:rPr>
          <w:rFonts w:ascii="Arial" w:hAnsi="Arial" w:cs="Arial"/>
          <w:sz w:val="24"/>
          <w:szCs w:val="24"/>
          <w:vertAlign w:val="superscript"/>
        </w:rPr>
        <w:t>th</w:t>
      </w:r>
      <w:r w:rsidR="00174CD5">
        <w:rPr>
          <w:rFonts w:ascii="Arial" w:hAnsi="Arial" w:cs="Arial"/>
          <w:sz w:val="24"/>
          <w:szCs w:val="24"/>
        </w:rPr>
        <w:t xml:space="preserve"> </w:t>
      </w:r>
      <w:r w:rsidR="00872ED8">
        <w:rPr>
          <w:rFonts w:ascii="Arial" w:hAnsi="Arial" w:cs="Arial"/>
          <w:sz w:val="24"/>
          <w:szCs w:val="24"/>
        </w:rPr>
        <w:t>August</w:t>
      </w:r>
      <w:r w:rsidR="00174CD5">
        <w:rPr>
          <w:rFonts w:ascii="Arial" w:hAnsi="Arial" w:cs="Arial"/>
          <w:sz w:val="24"/>
          <w:szCs w:val="24"/>
        </w:rPr>
        <w:t xml:space="preserve"> </w:t>
      </w:r>
      <w:r w:rsidR="005E3026">
        <w:rPr>
          <w:rFonts w:ascii="Arial" w:hAnsi="Arial" w:cs="Arial"/>
          <w:sz w:val="24"/>
          <w:szCs w:val="24"/>
        </w:rPr>
        <w:t>2018</w:t>
      </w:r>
    </w:p>
    <w:p w14:paraId="403B1621" w14:textId="77777777"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75CF85EB"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w:t>
      </w:r>
      <w:r w:rsidR="006C5135">
        <w:rPr>
          <w:rFonts w:ascii="Arial" w:hAnsi="Arial"/>
          <w:sz w:val="24"/>
          <w:lang w:val="en-US"/>
        </w:rPr>
        <w:t>1.</w:t>
      </w:r>
      <w:r w:rsidR="00872ED8">
        <w:rPr>
          <w:rFonts w:ascii="Arial" w:hAnsi="Arial"/>
          <w:sz w:val="24"/>
          <w:lang w:val="en-US"/>
        </w:rPr>
        <w:t>4</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162482C3" w:rsidR="009A0B47" w:rsidRPr="00F35722" w:rsidRDefault="009A0B47" w:rsidP="00872ED8">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872ED8" w:rsidRPr="00872ED8">
        <w:rPr>
          <w:rFonts w:ascii="Arial" w:hAnsi="Arial"/>
          <w:sz w:val="24"/>
        </w:rPr>
        <w:t>Maintenance for NR-LTE co-existence</w:t>
      </w:r>
      <w:r>
        <w:rPr>
          <w:rFonts w:ascii="Arial" w:hAnsi="Arial"/>
          <w:sz w:val="24"/>
        </w:rPr>
        <w:t xml:space="preserve"> </w:t>
      </w:r>
    </w:p>
    <w:p w14:paraId="262AEC5E" w14:textId="331242FD"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Pr>
          <w:rFonts w:ascii="Arial" w:hAnsi="Arial"/>
          <w:sz w:val="24"/>
        </w:rPr>
        <w:t xml:space="preserve"> and </w:t>
      </w:r>
      <w:r w:rsidR="00D36668">
        <w:rPr>
          <w:rFonts w:ascii="Arial" w:hAnsi="Arial"/>
          <w:sz w:val="24"/>
        </w:rPr>
        <w:t xml:space="preserve">Decision  </w:t>
      </w:r>
    </w:p>
    <w:p w14:paraId="57BA9835" w14:textId="77777777" w:rsidR="009A0B47" w:rsidRDefault="009A0B47" w:rsidP="009A0B47">
      <w:pPr>
        <w:pStyle w:val="Heading1"/>
        <w:ind w:left="0" w:firstLine="0"/>
      </w:pPr>
      <w:r>
        <w:t>Introduction</w:t>
      </w:r>
    </w:p>
    <w:p w14:paraId="4D487603" w14:textId="6181D219" w:rsidR="00172265" w:rsidRDefault="00172265" w:rsidP="00172265">
      <w:pPr>
        <w:jc w:val="both"/>
      </w:pPr>
      <w:r>
        <w:t>5G NR supports power sharing for LTE-NR non-standalone (NSA) architecture Option 3, known as EUTRA-NR dual connectivity or EN-DC, where LTE is the master cell group (MCG) and NR is the secondary cell group (SCG). In this case, power sharing is based on a maximum configured power level for LTE (P_LTE), a maximum configured power level for NR (P_NR), and a maximum configured aggregate power level across the two RATs (P_{EN-DC, T</w:t>
      </w:r>
      <w:r w:rsidRPr="00172265">
        <w:t>otal}</w:t>
      </w:r>
      <w:r>
        <w:t>), by adopting one the following methods</w:t>
      </w:r>
      <w:r w:rsidR="005147C9">
        <w:t xml:space="preserve"> [</w:t>
      </w:r>
      <w:r w:rsidR="00BF02CB">
        <w:t xml:space="preserve">1, </w:t>
      </w:r>
      <w:r w:rsidR="005147C9">
        <w:t>TS 38.213]</w:t>
      </w:r>
      <w:r>
        <w:t>:</w:t>
      </w:r>
    </w:p>
    <w:p w14:paraId="6FE43B1C" w14:textId="54F5DEF1" w:rsidR="00172265" w:rsidRPr="00BD0E0A" w:rsidRDefault="00172265" w:rsidP="00172265">
      <w:pPr>
        <w:pStyle w:val="ListParagraph"/>
        <w:numPr>
          <w:ilvl w:val="0"/>
          <w:numId w:val="19"/>
        </w:numPr>
        <w:jc w:val="both"/>
        <w:rPr>
          <w:sz w:val="20"/>
          <w:szCs w:val="20"/>
        </w:rPr>
      </w:pPr>
      <w:r w:rsidRPr="00BD0E0A">
        <w:rPr>
          <w:sz w:val="20"/>
          <w:szCs w:val="20"/>
        </w:rPr>
        <w:t>Semi-static power sharing: when P_LTE + P_NR ≤ P_{EN-DC, Total}</w:t>
      </w:r>
      <w:r w:rsidR="009609EB" w:rsidRPr="00BD0E0A">
        <w:rPr>
          <w:sz w:val="20"/>
          <w:szCs w:val="20"/>
        </w:rPr>
        <w:t>;</w:t>
      </w:r>
    </w:p>
    <w:p w14:paraId="21BCA233" w14:textId="663FC3DB" w:rsidR="00172265" w:rsidRPr="00172265" w:rsidRDefault="00172265" w:rsidP="00172265">
      <w:pPr>
        <w:pStyle w:val="ListParagraph"/>
        <w:numPr>
          <w:ilvl w:val="0"/>
          <w:numId w:val="19"/>
        </w:numPr>
        <w:jc w:val="both"/>
        <w:rPr>
          <w:sz w:val="20"/>
          <w:szCs w:val="20"/>
        </w:rPr>
      </w:pPr>
      <w:r w:rsidRPr="00BD0E0A">
        <w:rPr>
          <w:sz w:val="20"/>
          <w:szCs w:val="20"/>
        </w:rPr>
        <w:t>Dynamic power sharing: when P_LTE + P_NR &gt; P_{EN-DC, Total} AND the UE is capable of dynamic</w:t>
      </w:r>
      <w:r w:rsidRPr="00172265">
        <w:rPr>
          <w:sz w:val="20"/>
          <w:szCs w:val="20"/>
        </w:rPr>
        <w:t xml:space="preserve"> power sharing, then the power setting for LTE (which is the MCG)  is not changed, and in case of power-limitation, NR (which is the SCG) scales down power or drops </w:t>
      </w:r>
      <w:r w:rsidR="009609EB">
        <w:rPr>
          <w:sz w:val="20"/>
          <w:szCs w:val="20"/>
        </w:rPr>
        <w:t xml:space="preserve">the </w:t>
      </w:r>
      <w:r w:rsidRPr="00172265">
        <w:rPr>
          <w:sz w:val="20"/>
          <w:szCs w:val="20"/>
        </w:rPr>
        <w:t>transmission</w:t>
      </w:r>
      <w:r w:rsidR="009609EB">
        <w:rPr>
          <w:sz w:val="20"/>
          <w:szCs w:val="20"/>
        </w:rPr>
        <w:t>;</w:t>
      </w:r>
      <w:r w:rsidRPr="00172265">
        <w:rPr>
          <w:sz w:val="20"/>
          <w:szCs w:val="20"/>
        </w:rPr>
        <w:t xml:space="preserve"> </w:t>
      </w:r>
    </w:p>
    <w:p w14:paraId="5CA75046" w14:textId="1E750080" w:rsidR="00172265" w:rsidRPr="00172265" w:rsidRDefault="00172265" w:rsidP="00283155">
      <w:pPr>
        <w:pStyle w:val="ListParagraph"/>
        <w:numPr>
          <w:ilvl w:val="0"/>
          <w:numId w:val="19"/>
        </w:numPr>
        <w:jc w:val="both"/>
        <w:rPr>
          <w:sz w:val="20"/>
          <w:szCs w:val="20"/>
        </w:rPr>
      </w:pPr>
      <w:r w:rsidRPr="00172265">
        <w:rPr>
          <w:sz w:val="20"/>
          <w:szCs w:val="20"/>
        </w:rPr>
        <w:t xml:space="preserve">Single uplink operation: when P_LTE + P_NR &gt; P_{EN-DC, total} AND the UE is not capable of dynamic power sharing, then the UE is configured with a reference DL/UL TDD </w:t>
      </w:r>
      <w:r w:rsidR="00DB467D">
        <w:rPr>
          <w:sz w:val="20"/>
          <w:szCs w:val="20"/>
        </w:rPr>
        <w:t>configuration</w:t>
      </w:r>
      <w:r w:rsidRPr="00172265">
        <w:rPr>
          <w:sz w:val="20"/>
          <w:szCs w:val="20"/>
        </w:rPr>
        <w:t xml:space="preserve"> (for an FDD cell): LTE can only make UL transmissions on the designated UL subframes for LTE, on which NR is not allowed to make any UL transmission. NR can only make UL transmission on the designated DL subframes for LTE. </w:t>
      </w:r>
    </w:p>
    <w:p w14:paraId="184D5157" w14:textId="1E832208" w:rsidR="00FF2AE8" w:rsidRDefault="009A0B47" w:rsidP="009609EB">
      <w:pPr>
        <w:tabs>
          <w:tab w:val="left" w:pos="1440"/>
        </w:tabs>
        <w:jc w:val="both"/>
        <w:rPr>
          <w:i/>
        </w:rPr>
      </w:pPr>
      <w:r>
        <w:rPr>
          <w:rFonts w:eastAsia="MS Mincho"/>
          <w:lang w:val="en-US" w:eastAsia="ja-JP"/>
        </w:rPr>
        <w:t xml:space="preserve">In this contribution, we provide our views on </w:t>
      </w:r>
      <w:r w:rsidR="00D02C94">
        <w:rPr>
          <w:rFonts w:eastAsia="MS Mincho"/>
          <w:lang w:val="en-US" w:eastAsia="ja-JP"/>
        </w:rPr>
        <w:t>solutions for power sharing for LTE-</w:t>
      </w:r>
      <w:r w:rsidR="00D02C94">
        <w:t>NR non-standalone (NSA) architecture Option 4, known as NR-EUTRA dual connectivity or NE-DC. We also provide one clarification on the existing dynamic EN-DC power sharing (i.e., EUTRA-NR dual connectivity, or NSA architecture Option 3).</w:t>
      </w:r>
    </w:p>
    <w:p w14:paraId="4189F105" w14:textId="1075227B" w:rsidR="00FF2AE8" w:rsidRDefault="00FF2AE8" w:rsidP="000E773D">
      <w:pPr>
        <w:pStyle w:val="Heading1"/>
        <w:ind w:left="0" w:firstLine="0"/>
        <w:rPr>
          <w:bCs/>
        </w:rPr>
      </w:pPr>
      <w:r>
        <w:rPr>
          <w:bCs/>
        </w:rPr>
        <w:t>Power Sharing for NE-DC (NSA Arch. Option 4)</w:t>
      </w:r>
    </w:p>
    <w:p w14:paraId="37E3BF3E" w14:textId="69AB6EED" w:rsidR="00E01B78" w:rsidRDefault="00FF2AE8" w:rsidP="00283155">
      <w:pPr>
        <w:jc w:val="both"/>
      </w:pPr>
      <w:r>
        <w:t xml:space="preserve">In </w:t>
      </w:r>
      <w:r w:rsidR="00172265">
        <w:t xml:space="preserve">NSA architecture Option 4 </w:t>
      </w:r>
      <w:r>
        <w:t>or NE-DC, NR is the master cell group (MCG) and LTE is the secondary</w:t>
      </w:r>
      <w:r w:rsidR="00172265">
        <w:t xml:space="preserve"> cell group (SCG). </w:t>
      </w:r>
      <w:r w:rsidR="00E01B78">
        <w:t xml:space="preserve">Therefore, any power sharing solution for NE-DC should prioritize NR over LTE. </w:t>
      </w:r>
    </w:p>
    <w:p w14:paraId="6A42384A" w14:textId="70CB7C05" w:rsidR="00E01B78" w:rsidRDefault="00E01B78" w:rsidP="00E01B78">
      <w:pPr>
        <w:jc w:val="both"/>
        <w:rPr>
          <w:i/>
          <w:iCs/>
          <w:color w:val="000000" w:themeColor="text1"/>
          <w:lang w:eastAsia="ja-JP"/>
        </w:rPr>
      </w:pPr>
      <w:r>
        <w:rPr>
          <w:b/>
          <w:bCs/>
          <w:i/>
          <w:iCs/>
          <w:color w:val="000000" w:themeColor="text1"/>
          <w:lang w:eastAsia="ja-JP"/>
        </w:rPr>
        <w:t>Observation 1</w:t>
      </w:r>
      <w:r w:rsidRPr="000A0862">
        <w:rPr>
          <w:b/>
          <w:bCs/>
          <w:i/>
          <w:iCs/>
          <w:color w:val="000000" w:themeColor="text1"/>
          <w:lang w:eastAsia="ja-JP"/>
        </w:rPr>
        <w:t>:</w:t>
      </w:r>
      <w:r w:rsidRPr="000A0862">
        <w:rPr>
          <w:i/>
          <w:iCs/>
          <w:color w:val="000000" w:themeColor="text1"/>
          <w:lang w:eastAsia="ja-JP"/>
        </w:rPr>
        <w:t xml:space="preserve"> For </w:t>
      </w:r>
      <w:r>
        <w:rPr>
          <w:i/>
          <w:iCs/>
          <w:color w:val="000000" w:themeColor="text1"/>
          <w:lang w:eastAsia="ja-JP"/>
        </w:rPr>
        <w:t xml:space="preserve">NE-DC power sharing, NR </w:t>
      </w:r>
      <w:r w:rsidRPr="00E01B78">
        <w:rPr>
          <w:i/>
          <w:iCs/>
          <w:color w:val="000000" w:themeColor="text1"/>
          <w:lang w:eastAsia="ja-JP"/>
        </w:rPr>
        <w:t xml:space="preserve">(which is MCG) </w:t>
      </w:r>
      <w:r>
        <w:rPr>
          <w:i/>
          <w:iCs/>
          <w:color w:val="000000" w:themeColor="text1"/>
          <w:lang w:eastAsia="ja-JP"/>
        </w:rPr>
        <w:t>should be prioritize</w:t>
      </w:r>
      <w:r w:rsidR="00283155">
        <w:rPr>
          <w:i/>
          <w:iCs/>
          <w:color w:val="000000" w:themeColor="text1"/>
          <w:lang w:eastAsia="ja-JP"/>
        </w:rPr>
        <w:t>d</w:t>
      </w:r>
      <w:r>
        <w:rPr>
          <w:i/>
          <w:iCs/>
          <w:color w:val="000000" w:themeColor="text1"/>
          <w:lang w:eastAsia="ja-JP"/>
        </w:rPr>
        <w:t xml:space="preserve"> over LTE (which is the SCG).</w:t>
      </w:r>
    </w:p>
    <w:p w14:paraId="637B0B88" w14:textId="253A9461" w:rsidR="00FF2AE8" w:rsidRDefault="00E01B78" w:rsidP="00336C24">
      <w:pPr>
        <w:jc w:val="both"/>
      </w:pPr>
      <w:r>
        <w:t>On the other hand, t</w:t>
      </w:r>
      <w:r w:rsidR="00FF2AE8">
        <w:t xml:space="preserve">he main difference between </w:t>
      </w:r>
      <w:r w:rsidR="009609EB">
        <w:t xml:space="preserve">power sharing for </w:t>
      </w:r>
      <w:r w:rsidR="00FF2AE8">
        <w:t xml:space="preserve">EN-DC and </w:t>
      </w:r>
      <w:r w:rsidR="009609EB">
        <w:t xml:space="preserve">that for </w:t>
      </w:r>
      <w:r w:rsidR="00FF2AE8">
        <w:t xml:space="preserve">NE-DC is that, since LTE processing time is the same or slower than NR processing time, once LTE power </w:t>
      </w:r>
      <w:r w:rsidR="009609EB">
        <w:t xml:space="preserve">setting </w:t>
      </w:r>
      <w:r w:rsidR="00FF2AE8">
        <w:t>is decided, LTE can no more adjust its p</w:t>
      </w:r>
      <w:r w:rsidR="009609EB">
        <w:t>ower based on any NR grants</w:t>
      </w:r>
      <w:r w:rsidR="00FF2AE8">
        <w:t xml:space="preserve"> that are </w:t>
      </w:r>
      <w:r w:rsidR="009609EB">
        <w:t xml:space="preserve">received and processed </w:t>
      </w:r>
      <w:r w:rsidR="00FF2AE8">
        <w:t>later</w:t>
      </w:r>
      <w:r w:rsidR="00CC67A2">
        <w:t xml:space="preserve"> (i.e., no look-ahead)</w:t>
      </w:r>
      <w:r w:rsidR="00FF2AE8">
        <w:t xml:space="preserve">. In short, power scaling for LTE to accommodate an NR transmission is not possible, unless for the special case that NR is as slow as LTE. Therefore, </w:t>
      </w:r>
      <w:r w:rsidR="009609EB">
        <w:t xml:space="preserve">if one intends to follow a solution similar to EN-DC power sharing, </w:t>
      </w:r>
      <w:r>
        <w:t xml:space="preserve">either (i) NR processing time should be </w:t>
      </w:r>
      <w:r w:rsidR="00336C24">
        <w:t>as slow</w:t>
      </w:r>
      <w:r>
        <w:t xml:space="preserve"> as LTE, or otherwise (ii) LTE power scaling is not feasible and </w:t>
      </w:r>
      <w:r w:rsidR="00FF2AE8">
        <w:t xml:space="preserve">dropping/stopping LTE remains as </w:t>
      </w:r>
      <w:r w:rsidR="009609EB">
        <w:t>the only</w:t>
      </w:r>
      <w:r>
        <w:t xml:space="preserve"> option. The latter</w:t>
      </w:r>
      <w:r w:rsidR="00FF2AE8">
        <w:t xml:space="preserve"> is in some sense similar to the operation when LTE </w:t>
      </w:r>
      <w:r w:rsidR="00DB467D">
        <w:t xml:space="preserve">with 1ms TTI </w:t>
      </w:r>
      <w:r w:rsidR="00FF2AE8">
        <w:t xml:space="preserve">collides with </w:t>
      </w:r>
      <w:r w:rsidR="009609EB">
        <w:t xml:space="preserve">short processing or short </w:t>
      </w:r>
      <w:r w:rsidR="00FF2AE8">
        <w:t xml:space="preserve">TTI </w:t>
      </w:r>
      <w:r w:rsidR="009609EB">
        <w:t>(sp/sTTI)</w:t>
      </w:r>
      <w:r w:rsidR="00FF2AE8">
        <w:t xml:space="preserve">. </w:t>
      </w:r>
    </w:p>
    <w:p w14:paraId="02739B24" w14:textId="2A1B6584" w:rsidR="009609EB" w:rsidRPr="00E01B78" w:rsidRDefault="009609EB" w:rsidP="00283155">
      <w:pPr>
        <w:jc w:val="both"/>
        <w:rPr>
          <w:i/>
          <w:iCs/>
          <w:color w:val="000000" w:themeColor="text1"/>
          <w:lang w:eastAsia="ja-JP"/>
        </w:rPr>
      </w:pPr>
      <w:r>
        <w:rPr>
          <w:b/>
          <w:bCs/>
          <w:i/>
          <w:iCs/>
          <w:color w:val="000000" w:themeColor="text1"/>
          <w:lang w:eastAsia="ja-JP"/>
        </w:rPr>
        <w:t>Observation</w:t>
      </w:r>
      <w:r w:rsidR="00E01B78">
        <w:rPr>
          <w:b/>
          <w:bCs/>
          <w:i/>
          <w:iCs/>
          <w:color w:val="000000" w:themeColor="text1"/>
          <w:lang w:eastAsia="ja-JP"/>
        </w:rPr>
        <w:t xml:space="preserve"> 2</w:t>
      </w:r>
      <w:r w:rsidRPr="000A0862">
        <w:rPr>
          <w:b/>
          <w:bCs/>
          <w:i/>
          <w:iCs/>
          <w:color w:val="000000" w:themeColor="text1"/>
          <w:lang w:eastAsia="ja-JP"/>
        </w:rPr>
        <w:t>:</w:t>
      </w:r>
      <w:r w:rsidRPr="000A0862">
        <w:rPr>
          <w:i/>
          <w:iCs/>
          <w:color w:val="000000" w:themeColor="text1"/>
          <w:lang w:eastAsia="ja-JP"/>
        </w:rPr>
        <w:t xml:space="preserve"> </w:t>
      </w:r>
      <w:r w:rsidR="00E01B78">
        <w:rPr>
          <w:i/>
          <w:iCs/>
          <w:color w:val="000000" w:themeColor="text1"/>
          <w:lang w:eastAsia="ja-JP"/>
        </w:rPr>
        <w:t>To specify a solution for NE-DC power sharing</w:t>
      </w:r>
      <w:r w:rsidRPr="000A0862">
        <w:rPr>
          <w:i/>
          <w:iCs/>
          <w:color w:val="000000" w:themeColor="text1"/>
          <w:lang w:eastAsia="ja-JP"/>
        </w:rPr>
        <w:t xml:space="preserve"> </w:t>
      </w:r>
      <w:r w:rsidR="00283155">
        <w:rPr>
          <w:i/>
          <w:iCs/>
          <w:color w:val="000000" w:themeColor="text1"/>
          <w:lang w:eastAsia="ja-JP"/>
        </w:rPr>
        <w:t xml:space="preserve">that is </w:t>
      </w:r>
      <w:r w:rsidR="00E01B78">
        <w:rPr>
          <w:i/>
          <w:iCs/>
          <w:color w:val="000000" w:themeColor="text1"/>
          <w:lang w:eastAsia="ja-JP"/>
        </w:rPr>
        <w:t>similar to EN</w:t>
      </w:r>
      <w:r>
        <w:rPr>
          <w:i/>
          <w:iCs/>
          <w:color w:val="000000" w:themeColor="text1"/>
          <w:lang w:eastAsia="ja-JP"/>
        </w:rPr>
        <w:t>-DC</w:t>
      </w:r>
      <w:r w:rsidR="00E01B78">
        <w:rPr>
          <w:i/>
          <w:iCs/>
          <w:color w:val="000000" w:themeColor="text1"/>
          <w:lang w:eastAsia="ja-JP"/>
        </w:rPr>
        <w:t xml:space="preserve"> power sharing</w:t>
      </w:r>
      <w:r w:rsidR="00283155">
        <w:rPr>
          <w:i/>
          <w:iCs/>
          <w:color w:val="000000" w:themeColor="text1"/>
          <w:lang w:eastAsia="ja-JP"/>
        </w:rPr>
        <w:t xml:space="preserve"> requires that </w:t>
      </w:r>
      <w:r w:rsidR="00E01B78" w:rsidRPr="00E01B78">
        <w:rPr>
          <w:i/>
          <w:iCs/>
          <w:color w:val="000000" w:themeColor="text1"/>
          <w:lang w:eastAsia="ja-JP"/>
        </w:rPr>
        <w:t xml:space="preserve">either NR processing time should be </w:t>
      </w:r>
      <w:r w:rsidR="00E01B78">
        <w:rPr>
          <w:i/>
          <w:iCs/>
          <w:color w:val="000000" w:themeColor="text1"/>
          <w:lang w:eastAsia="ja-JP"/>
        </w:rPr>
        <w:t>as slow</w:t>
      </w:r>
      <w:r w:rsidR="00E01B78" w:rsidRPr="00E01B78">
        <w:rPr>
          <w:i/>
          <w:iCs/>
          <w:color w:val="000000" w:themeColor="text1"/>
          <w:lang w:eastAsia="ja-JP"/>
        </w:rPr>
        <w:t xml:space="preserve"> as LTE, or otherwise LTE power scaling is not feasible and dropping/stopping LTE remains as the only option.</w:t>
      </w:r>
    </w:p>
    <w:p w14:paraId="421BDBFF" w14:textId="505C86D4" w:rsidR="009609EB" w:rsidRDefault="00336C24" w:rsidP="00863EB3">
      <w:pPr>
        <w:jc w:val="both"/>
      </w:pPr>
      <w:r>
        <w:lastRenderedPageBreak/>
        <w:t>However</w:t>
      </w:r>
      <w:r w:rsidR="009609EB">
        <w:t xml:space="preserve">, </w:t>
      </w:r>
      <w:r>
        <w:t>both of these options</w:t>
      </w:r>
      <w:r w:rsidR="00863EB3">
        <w:t>, although valid,</w:t>
      </w:r>
      <w:r>
        <w:t xml:space="preserve"> are not favourable. </w:t>
      </w:r>
      <w:r w:rsidRPr="00BD0E0A">
        <w:t xml:space="preserve">Slowing down NR to the same level as LTE may not be preferable since it </w:t>
      </w:r>
      <w:r w:rsidR="00CA7335" w:rsidRPr="00BD0E0A">
        <w:t>limits the capability that NR design provides</w:t>
      </w:r>
      <w:r w:rsidRPr="00BD0E0A">
        <w:t xml:space="preserve">, including </w:t>
      </w:r>
      <w:r w:rsidR="00CA7335" w:rsidRPr="00BD0E0A">
        <w:t xml:space="preserve">achieving </w:t>
      </w:r>
      <w:r w:rsidRPr="00BD0E0A">
        <w:t xml:space="preserve">latency </w:t>
      </w:r>
      <w:r w:rsidR="00CA7335" w:rsidRPr="00BD0E0A">
        <w:t xml:space="preserve">requirements </w:t>
      </w:r>
      <w:r w:rsidRPr="00BD0E0A">
        <w:t>considered</w:t>
      </w:r>
      <w:r>
        <w:t xml:space="preserve"> for 5G eMBB and URLLC. In addition, a solution that frequently leads to LTE dropping/stopping </w:t>
      </w:r>
      <w:r w:rsidR="00232B79">
        <w:t xml:space="preserve">transmission </w:t>
      </w:r>
      <w:r>
        <w:t xml:space="preserve">greatly penalizes the LTE performance and may not be favourable. </w:t>
      </w:r>
    </w:p>
    <w:p w14:paraId="17EE2887" w14:textId="03877C6F" w:rsidR="00336C24" w:rsidRDefault="00863EB3" w:rsidP="002D2541">
      <w:pPr>
        <w:jc w:val="both"/>
      </w:pPr>
      <w:r>
        <w:t>An</w:t>
      </w:r>
      <w:r w:rsidR="00336C24">
        <w:t xml:space="preserve"> alternative solution for NE-DC is a power sharing </w:t>
      </w:r>
      <w:r w:rsidR="00336C24" w:rsidRPr="00BD0E0A">
        <w:t>scheme similar to LTE-DC power control mode 2 (PCM-2) [</w:t>
      </w:r>
      <w:r w:rsidR="00BF02CB" w:rsidRPr="00BD0E0A">
        <w:t xml:space="preserve">2, </w:t>
      </w:r>
      <w:r w:rsidR="00336C24" w:rsidRPr="00BD0E0A">
        <w:t>TS 36.213]</w:t>
      </w:r>
      <w:r w:rsidR="00283155" w:rsidRPr="00BD0E0A">
        <w:t xml:space="preserve"> </w:t>
      </w:r>
      <w:r w:rsidR="00DC6B8A" w:rsidRPr="00BD0E0A">
        <w:t xml:space="preserve">which can also be considered for </w:t>
      </w:r>
      <w:r w:rsidR="00283155" w:rsidRPr="00EA148B">
        <w:t>NR-DC power control</w:t>
      </w:r>
      <w:r w:rsidR="00336C24" w:rsidRPr="00BD0E0A">
        <w:t>.</w:t>
      </w:r>
      <w:r w:rsidR="005147C9" w:rsidRPr="00BD0E0A">
        <w:t xml:space="preserve"> In particular</w:t>
      </w:r>
      <w:r w:rsidR="005147C9">
        <w:t>, a minimum guaranteed power (MGP) is configured and reserved for LTE</w:t>
      </w:r>
      <w:r w:rsidR="009D6733">
        <w:t xml:space="preserve"> and NR</w:t>
      </w:r>
      <w:r w:rsidR="005147C9">
        <w:t xml:space="preserve">. This ensures that, neither NR is forced to </w:t>
      </w:r>
      <w:r w:rsidR="00DC6B8A">
        <w:t>increase the NR processing time to be of the same order as LTE</w:t>
      </w:r>
      <w:r w:rsidR="005147C9">
        <w:t xml:space="preserve">, nor LTE is frequently penalized. Instead, </w:t>
      </w:r>
      <w:r w:rsidR="002D2541">
        <w:t xml:space="preserve">LTE receives at least </w:t>
      </w:r>
      <w:r w:rsidR="005147C9">
        <w:t xml:space="preserve">up to an MGP level, and the remaining power is allocated to NR. </w:t>
      </w:r>
    </w:p>
    <w:p w14:paraId="368C375C" w14:textId="2207087F" w:rsidR="005C6B6E" w:rsidRDefault="005C6B6E" w:rsidP="00283155">
      <w:pPr>
        <w:jc w:val="both"/>
        <w:rPr>
          <w:i/>
          <w:iCs/>
        </w:rPr>
      </w:pPr>
      <w:r>
        <w:rPr>
          <w:b/>
          <w:bCs/>
          <w:i/>
          <w:iCs/>
          <w:color w:val="000000" w:themeColor="text1"/>
          <w:lang w:eastAsia="ja-JP"/>
        </w:rPr>
        <w:t>Observation 3</w:t>
      </w:r>
      <w:r w:rsidRPr="000A0862">
        <w:rPr>
          <w:b/>
          <w:bCs/>
          <w:i/>
          <w:iCs/>
          <w:color w:val="000000" w:themeColor="text1"/>
          <w:lang w:eastAsia="ja-JP"/>
        </w:rPr>
        <w:t>:</w:t>
      </w:r>
      <w:r w:rsidRPr="000A0862">
        <w:rPr>
          <w:i/>
          <w:iCs/>
          <w:color w:val="000000" w:themeColor="text1"/>
          <w:lang w:eastAsia="ja-JP"/>
        </w:rPr>
        <w:t xml:space="preserve"> </w:t>
      </w:r>
      <w:r w:rsidR="00520FA3">
        <w:rPr>
          <w:i/>
          <w:iCs/>
          <w:color w:val="000000" w:themeColor="text1"/>
          <w:lang w:eastAsia="ja-JP"/>
        </w:rPr>
        <w:t xml:space="preserve">A </w:t>
      </w:r>
      <w:r>
        <w:rPr>
          <w:i/>
          <w:iCs/>
          <w:color w:val="000000" w:themeColor="text1"/>
          <w:lang w:eastAsia="ja-JP"/>
        </w:rPr>
        <w:t xml:space="preserve">solution for NE-DC power sharing </w:t>
      </w:r>
      <w:r w:rsidR="00520FA3">
        <w:rPr>
          <w:i/>
          <w:iCs/>
          <w:color w:val="000000" w:themeColor="text1"/>
          <w:lang w:eastAsia="ja-JP"/>
        </w:rPr>
        <w:t xml:space="preserve">that is </w:t>
      </w:r>
      <w:r w:rsidRPr="005C6B6E">
        <w:rPr>
          <w:i/>
          <w:iCs/>
          <w:color w:val="000000" w:themeColor="text1"/>
          <w:lang w:eastAsia="ja-JP"/>
        </w:rPr>
        <w:t xml:space="preserve">similar to </w:t>
      </w:r>
      <w:r w:rsidRPr="005C6B6E">
        <w:rPr>
          <w:i/>
          <w:iCs/>
        </w:rPr>
        <w:t xml:space="preserve">LTE-DC PCM2  </w:t>
      </w:r>
      <w:r w:rsidR="008829EC">
        <w:rPr>
          <w:i/>
          <w:iCs/>
        </w:rPr>
        <w:t>using</w:t>
      </w:r>
      <w:r>
        <w:rPr>
          <w:i/>
          <w:iCs/>
        </w:rPr>
        <w:t xml:space="preserve"> a</w:t>
      </w:r>
      <w:r w:rsidRPr="005C6B6E">
        <w:rPr>
          <w:i/>
          <w:iCs/>
        </w:rPr>
        <w:t xml:space="preserve"> minimum guaranteed power (MGP) configured for LTE</w:t>
      </w:r>
      <w:r w:rsidR="00520FA3">
        <w:rPr>
          <w:i/>
          <w:iCs/>
        </w:rPr>
        <w:t xml:space="preserve">, avoids a frequent </w:t>
      </w:r>
      <w:r w:rsidR="00520FA3" w:rsidRPr="00520FA3">
        <w:rPr>
          <w:i/>
          <w:iCs/>
        </w:rPr>
        <w:t>penalization</w:t>
      </w:r>
      <w:r w:rsidR="00520FA3">
        <w:rPr>
          <w:i/>
          <w:iCs/>
        </w:rPr>
        <w:t xml:space="preserve"> of LTE and at the same time allows NR to retain its generally faster processing </w:t>
      </w:r>
      <w:r w:rsidR="00283155">
        <w:rPr>
          <w:i/>
          <w:iCs/>
        </w:rPr>
        <w:t>time</w:t>
      </w:r>
      <w:r w:rsidR="00520FA3">
        <w:rPr>
          <w:i/>
          <w:iCs/>
        </w:rPr>
        <w:t>.</w:t>
      </w:r>
    </w:p>
    <w:p w14:paraId="3D065233" w14:textId="0EE86C89" w:rsidR="005C6B6E" w:rsidRDefault="005C6B6E" w:rsidP="00520FA3">
      <w:pPr>
        <w:jc w:val="both"/>
      </w:pPr>
      <w:r>
        <w:rPr>
          <w:b/>
          <w:bCs/>
          <w:i/>
          <w:iCs/>
          <w:color w:val="000000" w:themeColor="text1"/>
          <w:lang w:eastAsia="ja-JP"/>
        </w:rPr>
        <w:t>Proposal 1</w:t>
      </w:r>
      <w:r w:rsidRPr="000A0862">
        <w:rPr>
          <w:b/>
          <w:bCs/>
          <w:i/>
          <w:iCs/>
          <w:color w:val="000000" w:themeColor="text1"/>
          <w:lang w:eastAsia="ja-JP"/>
        </w:rPr>
        <w:t>:</w:t>
      </w:r>
      <w:r w:rsidRPr="000A0862">
        <w:rPr>
          <w:i/>
          <w:iCs/>
          <w:color w:val="000000" w:themeColor="text1"/>
          <w:lang w:eastAsia="ja-JP"/>
        </w:rPr>
        <w:t xml:space="preserve"> </w:t>
      </w:r>
      <w:r>
        <w:rPr>
          <w:i/>
          <w:iCs/>
          <w:color w:val="000000" w:themeColor="text1"/>
          <w:lang w:eastAsia="ja-JP"/>
        </w:rPr>
        <w:t xml:space="preserve">NE-DC power sharing </w:t>
      </w:r>
      <w:r w:rsidR="00520FA3">
        <w:rPr>
          <w:i/>
          <w:iCs/>
          <w:color w:val="000000" w:themeColor="text1"/>
          <w:lang w:eastAsia="ja-JP"/>
        </w:rPr>
        <w:t>configures the UE with a</w:t>
      </w:r>
      <w:r w:rsidR="00520FA3" w:rsidRPr="00520FA3">
        <w:t xml:space="preserve"> </w:t>
      </w:r>
      <w:r w:rsidR="00520FA3">
        <w:rPr>
          <w:i/>
          <w:iCs/>
          <w:color w:val="000000" w:themeColor="text1"/>
          <w:lang w:eastAsia="ja-JP"/>
        </w:rPr>
        <w:t xml:space="preserve">minimum guaranteed power (MGP) for LTE </w:t>
      </w:r>
      <w:r w:rsidR="009D6733">
        <w:rPr>
          <w:i/>
          <w:iCs/>
          <w:color w:val="000000" w:themeColor="text1"/>
          <w:lang w:eastAsia="ja-JP"/>
        </w:rPr>
        <w:t xml:space="preserve">and NR </w:t>
      </w:r>
      <w:r w:rsidR="00520FA3">
        <w:rPr>
          <w:i/>
          <w:iCs/>
          <w:color w:val="000000" w:themeColor="text1"/>
          <w:lang w:eastAsia="ja-JP"/>
        </w:rPr>
        <w:t xml:space="preserve">and follows similar methods and principles as in </w:t>
      </w:r>
      <w:r w:rsidRPr="005C6B6E">
        <w:rPr>
          <w:i/>
          <w:iCs/>
        </w:rPr>
        <w:t>LTE-DC PCM2</w:t>
      </w:r>
      <w:r w:rsidR="00520FA3">
        <w:rPr>
          <w:i/>
          <w:iCs/>
        </w:rPr>
        <w:t xml:space="preserve">. </w:t>
      </w:r>
    </w:p>
    <w:p w14:paraId="71279CA7" w14:textId="1B4468CF" w:rsidR="00BF02CB" w:rsidRDefault="00FF2AE8" w:rsidP="00BF02CB">
      <w:pPr>
        <w:jc w:val="both"/>
      </w:pPr>
      <w:r>
        <w:t xml:space="preserve">Note that, for EN-DC, no MGP was adopted for NR, since </w:t>
      </w:r>
      <w:r w:rsidRPr="00BD0E0A">
        <w:t xml:space="preserve">LTE was considered to always have a higher priority and </w:t>
      </w:r>
      <w:r w:rsidR="008829EC" w:rsidRPr="00BD0E0A">
        <w:t>should have minimal impact</w:t>
      </w:r>
      <w:r w:rsidR="008829EC">
        <w:t xml:space="preserve"> to</w:t>
      </w:r>
      <w:r w:rsidR="005147C9">
        <w:t xml:space="preserve"> LTE </w:t>
      </w:r>
      <w:r w:rsidR="008829EC">
        <w:t>specification with implementation specific design to reserve power for NR</w:t>
      </w:r>
      <w:r>
        <w:t xml:space="preserve">. </w:t>
      </w:r>
      <w:r w:rsidR="000B09FD">
        <w:t>(RAN1</w:t>
      </w:r>
      <w:r w:rsidR="00BF02CB">
        <w:t>#90</w:t>
      </w:r>
      <w:r w:rsidR="000B09FD">
        <w:t xml:space="preserve"> agreement noted that “</w:t>
      </w:r>
      <w:r w:rsidR="00BF02CB" w:rsidRPr="00AB4A6D">
        <w:rPr>
          <w:rFonts w:eastAsia="MS Mincho"/>
          <w:lang w:eastAsia="ja-JP"/>
        </w:rPr>
        <w:t>The network will still have flexibility to prioritize or reserve certain NR transmission power depending on network implementation</w:t>
      </w:r>
      <w:r w:rsidR="000B09FD">
        <w:t>” [</w:t>
      </w:r>
      <w:r w:rsidR="00BF02CB">
        <w:t>3</w:t>
      </w:r>
      <w:r w:rsidR="000B09FD">
        <w:t xml:space="preserve">].) </w:t>
      </w:r>
      <w:r>
        <w:t xml:space="preserve">However, for NE-DC, it is indeed valid to assume that NR is aware of the LTE presence </w:t>
      </w:r>
      <w:r w:rsidR="00520FA3">
        <w:t xml:space="preserve">(e.g., due to the generally faster processing time of NR) </w:t>
      </w:r>
      <w:r>
        <w:t>and so can reserve some co</w:t>
      </w:r>
      <w:r w:rsidR="005C6B6E">
        <w:t xml:space="preserve">nfigured MGP for LTE operation. </w:t>
      </w:r>
      <w:r w:rsidR="00CC67A2">
        <w:t xml:space="preserve">If NR is aware that there is no overlapping LTE transmission, NR does not need to reserve power for LTE SCG. If LTE is aware that there </w:t>
      </w:r>
      <w:r w:rsidR="002D2541">
        <w:t xml:space="preserve">is </w:t>
      </w:r>
      <w:r w:rsidR="00CC67A2">
        <w:t xml:space="preserve">no overlapping NR </w:t>
      </w:r>
      <w:r w:rsidR="00F72F8B">
        <w:t xml:space="preserve">MCG </w:t>
      </w:r>
      <w:r w:rsidR="00CC67A2">
        <w:t>transmission without look-</w:t>
      </w:r>
      <w:r w:rsidR="00F72F8B">
        <w:t xml:space="preserve">ahead (e.g., based on semi-static information of NR slot configuration, knowledge of NR processing time is same order as LTE), LTE SCG can be allocated power more than the configured MGP (up to a maximum configured power level for LTE).  </w:t>
      </w:r>
    </w:p>
    <w:p w14:paraId="514C4B95" w14:textId="0270F0B2" w:rsidR="005C6B6E" w:rsidRDefault="00BF02CB" w:rsidP="00BF02CB">
      <w:pPr>
        <w:jc w:val="both"/>
      </w:pPr>
      <w:r>
        <w:t>The MGP for LTE in NE-DC operation, similar to LTE-DC PCM2 definitions, can be an RRC configured fraction (</w:t>
      </w:r>
      <w:r w:rsidRPr="005C6B6E">
        <w:rPr>
          <w:i/>
          <w:iCs/>
        </w:rPr>
        <w:t>γ_LTE</w:t>
      </w:r>
      <w:r>
        <w:t xml:space="preserve">) of the dual-connectivity Pcmax for NE-DC. </w:t>
      </w:r>
      <w:r w:rsidR="005C0033">
        <w:t xml:space="preserve">If LTE has no knowledge of whether a NR transmission will overlap (e.g., due to faster processing time of NR and later scheduling of NR-PDSCH), </w:t>
      </w:r>
      <w:r w:rsidR="005C0033" w:rsidRPr="005C6B6E">
        <w:rPr>
          <w:i/>
          <w:iCs/>
        </w:rPr>
        <w:t>γ_LTE</w:t>
      </w:r>
      <w:r w:rsidR="005C0033">
        <w:t xml:space="preserve"> is the fraction of the Pcmax for the LTE SCG. </w:t>
      </w:r>
      <w:r w:rsidR="005C6B6E">
        <w:t xml:space="preserve">Since NR is at least as fast as LTE, </w:t>
      </w:r>
      <w:r w:rsidR="00C21EFA">
        <w:t xml:space="preserve">it should be possible to compute </w:t>
      </w:r>
      <w:r w:rsidR="005C6B6E">
        <w:t xml:space="preserve">the dual-connectivity Pcmax for NE-DC by NR to determine and accommodate the MGP for LTE. However, an alternative approach is to configure the UE with an absolute </w:t>
      </w:r>
      <w:r w:rsidR="00520FA3">
        <w:t>power level</w:t>
      </w:r>
      <w:r w:rsidR="005C6B6E">
        <w:t xml:space="preserve"> (in dBm) for the MGP of LTE (say, P_{LTE,min}) to avoid any computation issues in NE-DC operation. </w:t>
      </w:r>
    </w:p>
    <w:p w14:paraId="027647BD" w14:textId="7434AAF5" w:rsidR="00FF2AE8" w:rsidRPr="005C6B6E" w:rsidRDefault="005C6B6E" w:rsidP="005C6B6E">
      <w:pPr>
        <w:jc w:val="both"/>
        <w:rPr>
          <w:i/>
          <w:iCs/>
        </w:rPr>
      </w:pPr>
      <w:r>
        <w:rPr>
          <w:b/>
          <w:bCs/>
          <w:i/>
          <w:iCs/>
          <w:color w:val="000000" w:themeColor="text1"/>
          <w:lang w:eastAsia="ja-JP"/>
        </w:rPr>
        <w:t>Proposal 2</w:t>
      </w:r>
      <w:r w:rsidRPr="000A0862">
        <w:rPr>
          <w:b/>
          <w:bCs/>
          <w:i/>
          <w:iCs/>
          <w:color w:val="000000" w:themeColor="text1"/>
          <w:lang w:eastAsia="ja-JP"/>
        </w:rPr>
        <w:t>:</w:t>
      </w:r>
      <w:r w:rsidRPr="000A0862">
        <w:rPr>
          <w:i/>
          <w:iCs/>
          <w:color w:val="000000" w:themeColor="text1"/>
          <w:lang w:eastAsia="ja-JP"/>
        </w:rPr>
        <w:t xml:space="preserve"> </w:t>
      </w:r>
      <w:r w:rsidRPr="005C6B6E">
        <w:rPr>
          <w:i/>
          <w:iCs/>
        </w:rPr>
        <w:t xml:space="preserve">The MGP </w:t>
      </w:r>
      <w:r>
        <w:rPr>
          <w:i/>
          <w:iCs/>
        </w:rPr>
        <w:t xml:space="preserve">for LTE </w:t>
      </w:r>
      <w:r w:rsidRPr="005C6B6E">
        <w:rPr>
          <w:i/>
          <w:iCs/>
        </w:rPr>
        <w:t xml:space="preserve">can be based on an RRC configured fraction (say, γ_LTE) </w:t>
      </w:r>
      <w:r>
        <w:rPr>
          <w:i/>
          <w:iCs/>
        </w:rPr>
        <w:t xml:space="preserve">of the NE-DC Pcmax, </w:t>
      </w:r>
      <w:r w:rsidR="00DF4531">
        <w:rPr>
          <w:i/>
          <w:iCs/>
        </w:rPr>
        <w:t xml:space="preserve">or LTE SCG Pcmax, </w:t>
      </w:r>
      <w:r>
        <w:rPr>
          <w:i/>
          <w:iCs/>
        </w:rPr>
        <w:t xml:space="preserve">or can be </w:t>
      </w:r>
      <w:r w:rsidRPr="005C6B6E">
        <w:rPr>
          <w:i/>
          <w:iCs/>
        </w:rPr>
        <w:t>configured as an absolute power level (say, P_{LTE, min}).</w:t>
      </w:r>
    </w:p>
    <w:p w14:paraId="4BD27697" w14:textId="2AEFD89A" w:rsidR="00FF2AE8" w:rsidRPr="00EA148B" w:rsidRDefault="00FF2AE8" w:rsidP="005C6B6E">
      <w:pPr>
        <w:jc w:val="both"/>
      </w:pPr>
      <w:r w:rsidRPr="00BD0E0A">
        <w:t xml:space="preserve">As for an MGP for NR in NE-DC operation, </w:t>
      </w:r>
      <w:r w:rsidR="005C6B6E" w:rsidRPr="00BD0E0A">
        <w:t>a similar γ_NR or P_{NR, min} can be configured</w:t>
      </w:r>
      <w:r w:rsidR="009D6733">
        <w:t xml:space="preserve">. </w:t>
      </w:r>
      <w:r w:rsidR="005C6B6E" w:rsidRPr="00BD0E0A">
        <w:t xml:space="preserve"> </w:t>
      </w:r>
      <w:r w:rsidR="009D6733">
        <w:t>The MGP for</w:t>
      </w:r>
      <w:r w:rsidR="009D6733" w:rsidRPr="00BD0E0A">
        <w:t xml:space="preserve"> </w:t>
      </w:r>
      <w:r w:rsidR="005C6B6E" w:rsidRPr="00BD0E0A">
        <w:t xml:space="preserve">NR </w:t>
      </w:r>
      <w:r w:rsidR="009D6733">
        <w:t xml:space="preserve">can be set to </w:t>
      </w:r>
      <w:r w:rsidR="009D6733" w:rsidRPr="00EA148B">
        <w:rPr>
          <w:rFonts w:eastAsia="Times New Roman"/>
          <w:i/>
          <w:lang w:bidi="en-US"/>
        </w:rPr>
        <w:t>γ_NR</w:t>
      </w:r>
      <w:r w:rsidR="009D6733">
        <w:rPr>
          <w:rFonts w:eastAsia="Times New Roman"/>
          <w:lang w:bidi="en-US"/>
        </w:rPr>
        <w:t xml:space="preserve"> </w:t>
      </w:r>
      <w:r w:rsidR="009D6733" w:rsidRPr="00EA148B">
        <w:rPr>
          <w:rFonts w:eastAsia="Times New Roman"/>
          <w:lang w:bidi="en-US"/>
        </w:rPr>
        <w:t xml:space="preserve">= 1 - </w:t>
      </w:r>
      <w:r w:rsidR="009D6733" w:rsidRPr="00EA148B">
        <w:rPr>
          <w:rFonts w:eastAsia="Times New Roman"/>
          <w:i/>
          <w:lang w:bidi="en-US"/>
        </w:rPr>
        <w:t>γ_LTE</w:t>
      </w:r>
      <w:r w:rsidR="009D6733" w:rsidRPr="00BD0E0A">
        <w:t xml:space="preserve"> </w:t>
      </w:r>
      <w:r w:rsidR="009D6733">
        <w:t>as NR</w:t>
      </w:r>
      <w:r w:rsidR="005C6B6E" w:rsidRPr="00BD0E0A">
        <w:t xml:space="preserve"> processing time is the same or faster than LTE</w:t>
      </w:r>
      <w:r w:rsidR="00AB1118">
        <w:t>.</w:t>
      </w:r>
      <w:r w:rsidR="00F72F8B" w:rsidRPr="00BD0E0A">
        <w:t xml:space="preserve"> </w:t>
      </w:r>
    </w:p>
    <w:p w14:paraId="2463935C" w14:textId="77777777" w:rsidR="005F74C0" w:rsidRDefault="005F74C0" w:rsidP="005F74C0">
      <w:pPr>
        <w:pStyle w:val="Heading1"/>
        <w:tabs>
          <w:tab w:val="num" w:pos="0"/>
        </w:tabs>
        <w:ind w:left="0" w:firstLine="0"/>
        <w:jc w:val="both"/>
        <w:rPr>
          <w:rFonts w:eastAsia="MS Mincho"/>
          <w:lang w:eastAsia="ja-JP"/>
        </w:rPr>
      </w:pPr>
      <w:r>
        <w:rPr>
          <w:rFonts w:eastAsia="MS Mincho"/>
          <w:lang w:eastAsia="ja-JP"/>
        </w:rPr>
        <w:t>Dynamic EN-DC Power Sharing with UL Skipping</w:t>
      </w:r>
    </w:p>
    <w:p w14:paraId="1B18F2E3" w14:textId="78AB531E" w:rsidR="005F74C0" w:rsidRPr="009F107A" w:rsidRDefault="005F74C0" w:rsidP="005F74C0">
      <w:pPr>
        <w:jc w:val="both"/>
        <w:rPr>
          <w:rFonts w:eastAsiaTheme="minorHAnsi"/>
          <w:color w:val="000000" w:themeColor="text1"/>
          <w:lang w:val="en-US"/>
        </w:rPr>
      </w:pPr>
      <w:r w:rsidRPr="003765D0">
        <w:rPr>
          <w:color w:val="000000" w:themeColor="text1"/>
        </w:rPr>
        <w:t>LTE-SPS operation</w:t>
      </w:r>
      <w:r w:rsidRPr="005606E8">
        <w:rPr>
          <w:color w:val="000000" w:themeColor="text1"/>
        </w:rPr>
        <w:t xml:space="preserve"> </w:t>
      </w:r>
      <w:r>
        <w:rPr>
          <w:color w:val="000000" w:themeColor="text1"/>
        </w:rPr>
        <w:t xml:space="preserve">can be configured with UL skipping, which can impact dynamic EN-DC power sharing, and the </w:t>
      </w:r>
      <w:r w:rsidRPr="009F107A">
        <w:rPr>
          <w:color w:val="000000" w:themeColor="text1"/>
        </w:rPr>
        <w:t>UE behavior needs to be</w:t>
      </w:r>
      <w:r>
        <w:rPr>
          <w:color w:val="000000" w:themeColor="text1"/>
        </w:rPr>
        <w:t xml:space="preserve"> specified</w:t>
      </w:r>
      <w:r w:rsidRPr="009F107A">
        <w:rPr>
          <w:color w:val="000000" w:themeColor="text1"/>
        </w:rPr>
        <w:t>. If an SPS occasion is skipped, no TB is constructed from padding bits when no UL data is available at the UE. The decision of skipping vs. transmitting for an SPS occasion maybe taken in less than 4ms prior to the SPS occasion. Depending on NR processing timeline</w:t>
      </w:r>
      <w:r>
        <w:rPr>
          <w:color w:val="000000" w:themeColor="text1"/>
        </w:rPr>
        <w:t xml:space="preserve"> and the value of K2 (gap between the UL grant </w:t>
      </w:r>
      <w:r w:rsidRPr="00F779B5">
        <w:rPr>
          <w:color w:val="000000" w:themeColor="text1"/>
        </w:rPr>
        <w:t>in slot N and corresponding uplink data transmission in slot N+K2</w:t>
      </w:r>
      <w:r>
        <w:rPr>
          <w:color w:val="000000" w:themeColor="text1"/>
        </w:rPr>
        <w:t>) indicated in the UL DCI</w:t>
      </w:r>
      <w:r w:rsidRPr="009F107A">
        <w:rPr>
          <w:color w:val="000000" w:themeColor="text1"/>
        </w:rPr>
        <w:t>, when the NR transmission power is decided for an NR transmission overlapping with the SPS occasion, the UE may not know if it’s going to skip/transmit an UL LTE SPS in the SPS occasion (as shown in Fig.</w:t>
      </w:r>
      <w:r>
        <w:rPr>
          <w:color w:val="000000" w:themeColor="text1"/>
        </w:rPr>
        <w:t xml:space="preserve"> 2</w:t>
      </w:r>
      <w:r w:rsidRPr="009F107A">
        <w:rPr>
          <w:color w:val="000000" w:themeColor="text1"/>
        </w:rPr>
        <w:t xml:space="preserve"> below). </w:t>
      </w:r>
      <w:r>
        <w:rPr>
          <w:color w:val="000000" w:themeColor="text1"/>
        </w:rPr>
        <w:t xml:space="preserve">Thus, </w:t>
      </w:r>
      <w:r w:rsidRPr="003765D0">
        <w:rPr>
          <w:lang w:eastAsia="ko-KR"/>
        </w:rPr>
        <w:t xml:space="preserve">to </w:t>
      </w:r>
      <w:r w:rsidRPr="003765D0">
        <w:rPr>
          <w:rFonts w:hint="eastAsia"/>
          <w:lang w:eastAsia="ko-KR"/>
        </w:rPr>
        <w:t>avoid potential misalignment between gNB and UE</w:t>
      </w:r>
      <w:r>
        <w:rPr>
          <w:lang w:eastAsia="ko-KR"/>
        </w:rPr>
        <w:t xml:space="preserve">, fixing the UE behaviour to assume </w:t>
      </w:r>
      <w:r w:rsidRPr="009F107A">
        <w:rPr>
          <w:color w:val="000000" w:themeColor="text1"/>
        </w:rPr>
        <w:t>the UE may assume, LTE transmissions will occur in the SPS occasions</w:t>
      </w:r>
      <w:r>
        <w:rPr>
          <w:color w:val="000000" w:themeColor="text1"/>
        </w:rPr>
        <w:t xml:space="preserve"> is preferred in case of dynamic power sharing and prevents UE transmit power from exceeding the maximum allowable transmit power</w:t>
      </w:r>
      <w:r w:rsidRPr="009F107A">
        <w:rPr>
          <w:color w:val="000000" w:themeColor="text1"/>
        </w:rPr>
        <w:t>.  </w:t>
      </w:r>
    </w:p>
    <w:p w14:paraId="272AA65D" w14:textId="77777777" w:rsidR="005F74C0" w:rsidRDefault="005F74C0" w:rsidP="005F74C0">
      <w:pPr>
        <w:rPr>
          <w:color w:val="1F497D"/>
        </w:rPr>
      </w:pPr>
      <w:r>
        <w:rPr>
          <w:noProof/>
          <w:color w:val="1F497D"/>
          <w:lang w:val="en-US"/>
        </w:rPr>
        <w:lastRenderedPageBreak/>
        <w:drawing>
          <wp:inline distT="0" distB="0" distL="0" distR="0" wp14:anchorId="70C02945" wp14:editId="16FC1E3A">
            <wp:extent cx="5870217" cy="1879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87756" cy="1885216"/>
                    </a:xfrm>
                    <a:prstGeom prst="rect">
                      <a:avLst/>
                    </a:prstGeom>
                    <a:noFill/>
                    <a:ln>
                      <a:noFill/>
                    </a:ln>
                  </pic:spPr>
                </pic:pic>
              </a:graphicData>
            </a:graphic>
          </wp:inline>
        </w:drawing>
      </w:r>
    </w:p>
    <w:p w14:paraId="2A3D0498" w14:textId="77777777" w:rsidR="005F74C0" w:rsidRPr="000F1068" w:rsidRDefault="005F74C0" w:rsidP="005F74C0">
      <w:pPr>
        <w:jc w:val="center"/>
        <w:rPr>
          <w:b/>
          <w:noProof/>
          <w:lang w:val="en-US" w:eastAsia="zh-CN"/>
        </w:rPr>
      </w:pPr>
      <w:r w:rsidRPr="000F1068">
        <w:rPr>
          <w:b/>
          <w:noProof/>
          <w:lang w:val="en-US" w:eastAsia="zh-CN"/>
        </w:rPr>
        <w:t xml:space="preserve">Figure </w:t>
      </w:r>
      <w:r w:rsidRPr="000F1068">
        <w:rPr>
          <w:b/>
          <w:noProof/>
          <w:lang w:val="en-US" w:eastAsia="zh-CN"/>
        </w:rPr>
        <w:fldChar w:fldCharType="begin"/>
      </w:r>
      <w:r w:rsidRPr="000F1068">
        <w:rPr>
          <w:b/>
          <w:noProof/>
          <w:lang w:val="en-US" w:eastAsia="zh-CN"/>
        </w:rPr>
        <w:instrText xml:space="preserve"> SEQ Figure \* ARABIC </w:instrText>
      </w:r>
      <w:r w:rsidRPr="000F1068">
        <w:rPr>
          <w:b/>
          <w:noProof/>
          <w:lang w:val="en-US" w:eastAsia="zh-CN"/>
        </w:rPr>
        <w:fldChar w:fldCharType="separate"/>
      </w:r>
      <w:r w:rsidRPr="000F1068">
        <w:rPr>
          <w:b/>
          <w:noProof/>
          <w:lang w:val="en-US" w:eastAsia="zh-CN"/>
        </w:rPr>
        <w:t>1</w:t>
      </w:r>
      <w:r w:rsidRPr="000F1068">
        <w:rPr>
          <w:b/>
          <w:noProof/>
          <w:lang w:val="en-US" w:eastAsia="zh-CN"/>
        </w:rPr>
        <w:fldChar w:fldCharType="end"/>
      </w:r>
      <w:r w:rsidRPr="000F1068">
        <w:rPr>
          <w:b/>
          <w:noProof/>
          <w:lang w:val="en-US" w:eastAsia="zh-CN"/>
        </w:rPr>
        <w:t xml:space="preserve">: </w:t>
      </w:r>
      <w:r>
        <w:rPr>
          <w:b/>
          <w:noProof/>
          <w:lang w:val="en-US" w:eastAsia="zh-CN"/>
        </w:rPr>
        <w:t>T</w:t>
      </w:r>
      <w:r w:rsidRPr="00F779B5">
        <w:rPr>
          <w:b/>
          <w:noProof/>
          <w:lang w:val="en-US" w:eastAsia="zh-CN"/>
        </w:rPr>
        <w:t>ransmit/skip decision for LTE SPS with UL skipping occasion subframe i1 is made after NR transmisison power is decided for NR slot i2</w:t>
      </w:r>
      <w:r>
        <w:rPr>
          <w:b/>
          <w:noProof/>
          <w:lang w:val="en-US" w:eastAsia="zh-CN"/>
        </w:rPr>
        <w:t xml:space="preserve">. </w:t>
      </w:r>
    </w:p>
    <w:p w14:paraId="01E607A6" w14:textId="1273BEC1" w:rsidR="005F74C0" w:rsidRPr="000A0862" w:rsidRDefault="005F74C0" w:rsidP="00283155">
      <w:pPr>
        <w:jc w:val="both"/>
        <w:rPr>
          <w:i/>
          <w:iCs/>
          <w:color w:val="000000" w:themeColor="text1"/>
          <w:lang w:eastAsia="ja-JP"/>
        </w:rPr>
      </w:pPr>
      <w:r w:rsidRPr="000A0862">
        <w:rPr>
          <w:b/>
          <w:bCs/>
          <w:i/>
          <w:iCs/>
          <w:color w:val="000000" w:themeColor="text1"/>
          <w:lang w:eastAsia="ja-JP"/>
        </w:rPr>
        <w:t xml:space="preserve">Proposal </w:t>
      </w:r>
      <w:r w:rsidR="00283155">
        <w:rPr>
          <w:b/>
          <w:bCs/>
          <w:i/>
          <w:iCs/>
          <w:color w:val="000000" w:themeColor="text1"/>
          <w:lang w:eastAsia="ja-JP"/>
        </w:rPr>
        <w:t>3</w:t>
      </w:r>
      <w:r w:rsidRPr="000A0862">
        <w:rPr>
          <w:b/>
          <w:bCs/>
          <w:i/>
          <w:iCs/>
          <w:color w:val="000000" w:themeColor="text1"/>
          <w:lang w:eastAsia="ja-JP"/>
        </w:rPr>
        <w:t>:</w:t>
      </w:r>
      <w:r w:rsidRPr="000A0862">
        <w:rPr>
          <w:i/>
          <w:iCs/>
          <w:color w:val="000000" w:themeColor="text1"/>
          <w:lang w:eastAsia="ja-JP"/>
        </w:rPr>
        <w:t xml:space="preserve"> For dynamic power sharing in EN-DC, and the </w:t>
      </w:r>
      <w:r w:rsidRPr="000A0862">
        <w:rPr>
          <w:i/>
          <w:iCs/>
          <w:color w:val="000000" w:themeColor="text1"/>
        </w:rPr>
        <w:t xml:space="preserve">UE configured with higher layer parameter skipUplinkTxSPS on the MCG, UE assumes SPS transmissions are not skipped on MCG for determining </w:t>
      </w:r>
      <w:r w:rsidRPr="000A0862">
        <w:rPr>
          <w:i/>
          <w:iCs/>
          <w:color w:val="000000" w:themeColor="text1"/>
          <w:lang w:eastAsia="ja-JP"/>
        </w:rPr>
        <w:t>the transmission power on the SCG.</w:t>
      </w:r>
    </w:p>
    <w:p w14:paraId="2BBBB0CC" w14:textId="77777777" w:rsidR="009A0B47" w:rsidRPr="00A70579" w:rsidRDefault="009A0B47" w:rsidP="009A0B47">
      <w:pPr>
        <w:pStyle w:val="Heading1"/>
        <w:tabs>
          <w:tab w:val="num" w:pos="0"/>
        </w:tabs>
        <w:ind w:left="0" w:firstLine="0"/>
        <w:jc w:val="both"/>
        <w:rPr>
          <w:rFonts w:eastAsia="MS Mincho"/>
          <w:lang w:eastAsia="ja-JP"/>
        </w:rPr>
      </w:pPr>
      <w:bookmarkStart w:id="3" w:name="_GoBack"/>
      <w:bookmarkEnd w:id="3"/>
      <w:r>
        <w:rPr>
          <w:rFonts w:eastAsia="MS Mincho"/>
          <w:lang w:eastAsia="ja-JP"/>
        </w:rPr>
        <w:t>Conclusion</w:t>
      </w:r>
    </w:p>
    <w:p w14:paraId="5A7A592D" w14:textId="09078F44" w:rsidR="009A0B47" w:rsidRDefault="007E5B46" w:rsidP="00283155">
      <w:pPr>
        <w:jc w:val="both"/>
        <w:rPr>
          <w:lang w:eastAsia="ja-JP"/>
        </w:rPr>
      </w:pPr>
      <w:r>
        <w:t xml:space="preserve">In summary, </w:t>
      </w:r>
      <w:r>
        <w:rPr>
          <w:lang w:eastAsia="ja-JP"/>
        </w:rPr>
        <w:t xml:space="preserve">we propose the followings for </w:t>
      </w:r>
      <w:r w:rsidR="00283155">
        <w:rPr>
          <w:lang w:eastAsia="ja-JP"/>
        </w:rPr>
        <w:t>NE-DC and EN-DC power sharing</w:t>
      </w:r>
      <w:r>
        <w:rPr>
          <w:lang w:eastAsia="ja-JP"/>
        </w:rPr>
        <w:t>:</w:t>
      </w:r>
    </w:p>
    <w:p w14:paraId="02FE18EF" w14:textId="77777777" w:rsidR="00283155" w:rsidRPr="00283155" w:rsidRDefault="00283155" w:rsidP="00283155">
      <w:pPr>
        <w:jc w:val="both"/>
        <w:rPr>
          <w:color w:val="000000" w:themeColor="text1"/>
          <w:lang w:eastAsia="ja-JP"/>
        </w:rPr>
      </w:pPr>
      <w:r w:rsidRPr="00283155">
        <w:rPr>
          <w:b/>
          <w:bCs/>
          <w:color w:val="000000" w:themeColor="text1"/>
          <w:lang w:eastAsia="ja-JP"/>
        </w:rPr>
        <w:t>Observation 1:</w:t>
      </w:r>
      <w:r w:rsidRPr="00283155">
        <w:rPr>
          <w:color w:val="000000" w:themeColor="text1"/>
          <w:lang w:eastAsia="ja-JP"/>
        </w:rPr>
        <w:t xml:space="preserve"> For NE-DC power sharing, NR (which is MCG) should be prioritize over LTE (which is the SCG).</w:t>
      </w:r>
    </w:p>
    <w:p w14:paraId="0A43D3BC" w14:textId="77777777" w:rsidR="00283155" w:rsidRPr="00283155" w:rsidRDefault="00283155" w:rsidP="00283155">
      <w:pPr>
        <w:jc w:val="both"/>
        <w:rPr>
          <w:color w:val="000000" w:themeColor="text1"/>
          <w:lang w:eastAsia="ja-JP"/>
        </w:rPr>
      </w:pPr>
      <w:r w:rsidRPr="00283155">
        <w:rPr>
          <w:b/>
          <w:bCs/>
          <w:color w:val="000000" w:themeColor="text1"/>
          <w:lang w:eastAsia="ja-JP"/>
        </w:rPr>
        <w:t>Observation 2:</w:t>
      </w:r>
      <w:r w:rsidRPr="00283155">
        <w:rPr>
          <w:color w:val="000000" w:themeColor="text1"/>
          <w:lang w:eastAsia="ja-JP"/>
        </w:rPr>
        <w:t xml:space="preserve"> To specify a solution for NE-DC power sharing similar to EN-DC power sharing, either NR processing time should be as slow as LTE, or otherwise LTE power scaling is not feasible and dropping/stopping LTE remains as the only option.</w:t>
      </w:r>
    </w:p>
    <w:p w14:paraId="2A5A0FD2" w14:textId="39CDABE9" w:rsidR="00283155" w:rsidRPr="00283155" w:rsidRDefault="00283155" w:rsidP="00283155">
      <w:pPr>
        <w:jc w:val="both"/>
      </w:pPr>
      <w:r w:rsidRPr="00283155">
        <w:rPr>
          <w:b/>
          <w:bCs/>
          <w:color w:val="000000" w:themeColor="text1"/>
          <w:lang w:eastAsia="ja-JP"/>
        </w:rPr>
        <w:t>Observation 3:</w:t>
      </w:r>
      <w:r w:rsidRPr="00283155">
        <w:rPr>
          <w:color w:val="000000" w:themeColor="text1"/>
          <w:lang w:eastAsia="ja-JP"/>
        </w:rPr>
        <w:t xml:space="preserve"> A solution for NE-DC power sharing that is similar to </w:t>
      </w:r>
      <w:r w:rsidRPr="00283155">
        <w:t xml:space="preserve">LTE-DC PCM2  </w:t>
      </w:r>
      <w:r w:rsidR="001D4B21">
        <w:t>using</w:t>
      </w:r>
      <w:r w:rsidRPr="00283155">
        <w:t xml:space="preserve"> a minimum guaranteed power (MGP) configured for LTE, avoids a frequent penalization of LTE and at the same time allows NR to retain its generally faster processing speed.</w:t>
      </w:r>
    </w:p>
    <w:p w14:paraId="5C1DC221" w14:textId="2248EAC1" w:rsidR="00283155" w:rsidRPr="00283155" w:rsidRDefault="00283155" w:rsidP="00283155">
      <w:pPr>
        <w:jc w:val="both"/>
      </w:pPr>
      <w:r w:rsidRPr="00283155">
        <w:rPr>
          <w:b/>
          <w:bCs/>
          <w:color w:val="000000" w:themeColor="text1"/>
          <w:lang w:eastAsia="ja-JP"/>
        </w:rPr>
        <w:t>Proposal 1:</w:t>
      </w:r>
      <w:r w:rsidRPr="00283155">
        <w:rPr>
          <w:color w:val="000000" w:themeColor="text1"/>
          <w:lang w:eastAsia="ja-JP"/>
        </w:rPr>
        <w:t xml:space="preserve"> NE-DC power sharing configures the UE with a</w:t>
      </w:r>
      <w:r w:rsidRPr="00283155">
        <w:t xml:space="preserve"> </w:t>
      </w:r>
      <w:r w:rsidRPr="00283155">
        <w:rPr>
          <w:color w:val="000000" w:themeColor="text1"/>
          <w:lang w:eastAsia="ja-JP"/>
        </w:rPr>
        <w:t xml:space="preserve">minimum guaranteed power (MGP) for LTE </w:t>
      </w:r>
      <w:r w:rsidR="009D6733" w:rsidRPr="00EA148B">
        <w:rPr>
          <w:iCs/>
          <w:color w:val="000000" w:themeColor="text1"/>
          <w:lang w:eastAsia="ja-JP"/>
        </w:rPr>
        <w:t>and NR</w:t>
      </w:r>
      <w:r w:rsidR="009D6733">
        <w:rPr>
          <w:i/>
          <w:iCs/>
          <w:color w:val="000000" w:themeColor="text1"/>
          <w:lang w:eastAsia="ja-JP"/>
        </w:rPr>
        <w:t xml:space="preserve"> </w:t>
      </w:r>
      <w:r w:rsidRPr="00283155">
        <w:rPr>
          <w:color w:val="000000" w:themeColor="text1"/>
          <w:lang w:eastAsia="ja-JP"/>
        </w:rPr>
        <w:t xml:space="preserve">and follows similar methods and principles as in </w:t>
      </w:r>
      <w:r w:rsidRPr="00283155">
        <w:t xml:space="preserve">LTE-DC PCM2. </w:t>
      </w:r>
    </w:p>
    <w:p w14:paraId="215C2529" w14:textId="09EB569D" w:rsidR="00283155" w:rsidRPr="00283155" w:rsidRDefault="00283155" w:rsidP="00283155">
      <w:pPr>
        <w:jc w:val="both"/>
      </w:pPr>
      <w:r w:rsidRPr="00283155">
        <w:rPr>
          <w:b/>
          <w:bCs/>
          <w:color w:val="000000" w:themeColor="text1"/>
          <w:lang w:eastAsia="ja-JP"/>
        </w:rPr>
        <w:t>Proposal 2:</w:t>
      </w:r>
      <w:r w:rsidRPr="00283155">
        <w:rPr>
          <w:color w:val="000000" w:themeColor="text1"/>
          <w:lang w:eastAsia="ja-JP"/>
        </w:rPr>
        <w:t xml:space="preserve"> </w:t>
      </w:r>
      <w:r w:rsidRPr="00283155">
        <w:t xml:space="preserve">The MGP for LTE can be based on an RRC configured fraction (say, γ_LTE) of the NE-DC Pcmax, </w:t>
      </w:r>
      <w:r w:rsidR="00DF4531" w:rsidRPr="00EA148B">
        <w:rPr>
          <w:iCs/>
        </w:rPr>
        <w:t>or LTE SCG Pcmax,</w:t>
      </w:r>
      <w:r w:rsidR="00DF4531">
        <w:rPr>
          <w:i/>
          <w:iCs/>
        </w:rPr>
        <w:t xml:space="preserve"> </w:t>
      </w:r>
      <w:r w:rsidRPr="00283155">
        <w:t>or can be configured as an absolute power level (say, P_{LTE, min}).</w:t>
      </w:r>
    </w:p>
    <w:p w14:paraId="5919627E" w14:textId="3DE45AB5" w:rsidR="00283155" w:rsidRPr="00283155" w:rsidRDefault="00283155" w:rsidP="00283155">
      <w:pPr>
        <w:jc w:val="both"/>
        <w:rPr>
          <w:color w:val="000000" w:themeColor="text1"/>
          <w:lang w:eastAsia="ja-JP"/>
        </w:rPr>
      </w:pPr>
      <w:r w:rsidRPr="00283155">
        <w:rPr>
          <w:b/>
          <w:bCs/>
          <w:color w:val="000000" w:themeColor="text1"/>
          <w:lang w:eastAsia="ja-JP"/>
        </w:rPr>
        <w:t>Proposal 3:</w:t>
      </w:r>
      <w:r w:rsidRPr="00283155">
        <w:rPr>
          <w:color w:val="000000" w:themeColor="text1"/>
          <w:lang w:eastAsia="ja-JP"/>
        </w:rPr>
        <w:t xml:space="preserve"> For dynamic power sharing in EN-DC, and the </w:t>
      </w:r>
      <w:r w:rsidRPr="00283155">
        <w:rPr>
          <w:color w:val="000000" w:themeColor="text1"/>
        </w:rPr>
        <w:t xml:space="preserve">UE configured with higher layer parameter </w:t>
      </w:r>
      <w:r w:rsidRPr="00283155">
        <w:rPr>
          <w:i/>
          <w:iCs/>
          <w:color w:val="000000" w:themeColor="text1"/>
        </w:rPr>
        <w:t>skipUplinkTxSPS</w:t>
      </w:r>
      <w:r w:rsidRPr="00283155">
        <w:rPr>
          <w:color w:val="000000" w:themeColor="text1"/>
        </w:rPr>
        <w:t xml:space="preserve"> on the MCG, UE assumes SPS transmissions are not skipped on MCG for determining </w:t>
      </w:r>
      <w:r w:rsidRPr="00283155">
        <w:rPr>
          <w:color w:val="000000" w:themeColor="text1"/>
          <w:lang w:eastAsia="ja-JP"/>
        </w:rPr>
        <w:t>the transmission power on the SCG.</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29A442F6" w14:textId="73FD311B" w:rsidR="00471619" w:rsidRPr="00FB5ACA" w:rsidRDefault="00471619" w:rsidP="00520FA3">
      <w:pPr>
        <w:numPr>
          <w:ilvl w:val="0"/>
          <w:numId w:val="2"/>
        </w:numPr>
        <w:jc w:val="both"/>
        <w:rPr>
          <w:lang w:bidi="en-US"/>
        </w:rPr>
      </w:pPr>
      <w:r>
        <w:rPr>
          <w:lang w:bidi="en-US"/>
        </w:rPr>
        <w:t xml:space="preserve">TS 38.213, </w:t>
      </w:r>
      <w:r>
        <w:rPr>
          <w:bCs/>
        </w:rPr>
        <w:t>“</w:t>
      </w:r>
      <w:r w:rsidRPr="00982ECF">
        <w:rPr>
          <w:bCs/>
        </w:rPr>
        <w:t>NR</w:t>
      </w:r>
      <w:r w:rsidR="00520FA3">
        <w:rPr>
          <w:bCs/>
        </w:rPr>
        <w:t>;</w:t>
      </w:r>
      <w:r w:rsidRPr="00982ECF">
        <w:rPr>
          <w:bCs/>
        </w:rPr>
        <w:t xml:space="preserve"> Physical layer procedures for control</w:t>
      </w:r>
      <w:r>
        <w:rPr>
          <w:bCs/>
        </w:rPr>
        <w:t>”, Rel. 15, v15.</w:t>
      </w:r>
      <w:r w:rsidR="00520FA3">
        <w:rPr>
          <w:bCs/>
        </w:rPr>
        <w:t>2</w:t>
      </w:r>
      <w:r>
        <w:rPr>
          <w:bCs/>
        </w:rPr>
        <w:t xml:space="preserve">.0, </w:t>
      </w:r>
      <w:r w:rsidR="00520FA3">
        <w:rPr>
          <w:bCs/>
        </w:rPr>
        <w:t>June</w:t>
      </w:r>
      <w:r w:rsidR="00930753">
        <w:rPr>
          <w:bCs/>
        </w:rPr>
        <w:t xml:space="preserve"> </w:t>
      </w:r>
      <w:r>
        <w:rPr>
          <w:bCs/>
        </w:rPr>
        <w:t>2018.</w:t>
      </w:r>
    </w:p>
    <w:p w14:paraId="34B758F7" w14:textId="5B3AD473" w:rsidR="00520FA3" w:rsidRPr="00FB5ACA" w:rsidRDefault="00520FA3" w:rsidP="00520FA3">
      <w:pPr>
        <w:numPr>
          <w:ilvl w:val="0"/>
          <w:numId w:val="2"/>
        </w:numPr>
        <w:jc w:val="both"/>
        <w:rPr>
          <w:lang w:bidi="en-US"/>
        </w:rPr>
      </w:pPr>
      <w:r>
        <w:rPr>
          <w:lang w:bidi="en-US"/>
        </w:rPr>
        <w:t xml:space="preserve">TS 36.213, </w:t>
      </w:r>
      <w:r>
        <w:rPr>
          <w:bCs/>
        </w:rPr>
        <w:t>“EUTRA;</w:t>
      </w:r>
      <w:r w:rsidRPr="00982ECF">
        <w:rPr>
          <w:bCs/>
        </w:rPr>
        <w:t xml:space="preserve"> Physical layer procedures</w:t>
      </w:r>
      <w:r>
        <w:rPr>
          <w:bCs/>
        </w:rPr>
        <w:t>”, Rel. 15, v15.2.0, June 2018.</w:t>
      </w:r>
    </w:p>
    <w:p w14:paraId="6996D2E5" w14:textId="3427C6A3" w:rsidR="00471619" w:rsidRDefault="00520FA3" w:rsidP="00BF02CB">
      <w:pPr>
        <w:numPr>
          <w:ilvl w:val="0"/>
          <w:numId w:val="2"/>
        </w:numPr>
        <w:jc w:val="both"/>
        <w:rPr>
          <w:lang w:bidi="en-US"/>
        </w:rPr>
      </w:pPr>
      <w:r>
        <w:rPr>
          <w:lang w:bidi="en-US"/>
        </w:rPr>
        <w:t xml:space="preserve"> </w:t>
      </w:r>
      <w:r w:rsidR="007B7925">
        <w:rPr>
          <w:lang w:bidi="en-US"/>
        </w:rPr>
        <w:t>“</w:t>
      </w:r>
      <w:r w:rsidR="007B7925" w:rsidRPr="003C7E08">
        <w:rPr>
          <w:lang w:bidi="en-US"/>
        </w:rPr>
        <w:t>RAN1 Chairman’s Notes</w:t>
      </w:r>
      <w:r w:rsidR="007B7925">
        <w:rPr>
          <w:lang w:bidi="en-US"/>
        </w:rPr>
        <w:t>”, RAN1 #9</w:t>
      </w:r>
      <w:r w:rsidR="00BF02CB">
        <w:rPr>
          <w:lang w:bidi="en-US"/>
        </w:rPr>
        <w:t>0</w:t>
      </w:r>
      <w:r w:rsidR="007B7925">
        <w:rPr>
          <w:lang w:bidi="en-US"/>
        </w:rPr>
        <w:t xml:space="preserve">, </w:t>
      </w:r>
      <w:r w:rsidR="00BF02CB" w:rsidRPr="00BF02CB">
        <w:rPr>
          <w:lang w:bidi="en-US"/>
        </w:rPr>
        <w:t>Prague, Czech Republic, August 2017</w:t>
      </w:r>
      <w:r w:rsidR="00BF02CB">
        <w:rPr>
          <w:lang w:bidi="en-US"/>
        </w:rPr>
        <w:t>.</w:t>
      </w:r>
    </w:p>
    <w:sectPr w:rsidR="00471619" w:rsidSect="00BC384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6CA5B" w14:textId="77777777" w:rsidR="00A13FB5" w:rsidRDefault="00A13FB5" w:rsidP="0050200A">
      <w:pPr>
        <w:spacing w:after="0"/>
      </w:pPr>
      <w:r>
        <w:separator/>
      </w:r>
    </w:p>
  </w:endnote>
  <w:endnote w:type="continuationSeparator" w:id="0">
    <w:p w14:paraId="7302BF85" w14:textId="77777777" w:rsidR="00A13FB5" w:rsidRDefault="00A13FB5"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2AA4" w14:textId="77777777" w:rsidR="00EA608F" w:rsidRDefault="00EA60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8DAC" w14:textId="77777777" w:rsidR="00EA608F" w:rsidRDefault="00EA60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AC4F" w14:textId="77777777" w:rsidR="00EA608F" w:rsidRDefault="00EA6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FB503" w14:textId="77777777" w:rsidR="00A13FB5" w:rsidRDefault="00A13FB5" w:rsidP="0050200A">
      <w:pPr>
        <w:spacing w:after="0"/>
      </w:pPr>
      <w:r>
        <w:separator/>
      </w:r>
    </w:p>
  </w:footnote>
  <w:footnote w:type="continuationSeparator" w:id="0">
    <w:p w14:paraId="28F17988" w14:textId="77777777" w:rsidR="00A13FB5" w:rsidRDefault="00A13FB5"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B8B4F" w14:textId="77777777" w:rsidR="00EA608F" w:rsidRDefault="00EA60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05AC4" w14:textId="77777777" w:rsidR="00EA608F" w:rsidRDefault="00EA60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FF07C" w14:textId="77777777" w:rsidR="00EA608F" w:rsidRDefault="00EA60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32E65C68"/>
    <w:multiLevelType w:val="hybridMultilevel"/>
    <w:tmpl w:val="759AF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A45250"/>
    <w:multiLevelType w:val="hybridMultilevel"/>
    <w:tmpl w:val="50B47770"/>
    <w:lvl w:ilvl="0" w:tplc="B61031DC">
      <w:numFmt w:val="bullet"/>
      <w:lvlText w:val="-"/>
      <w:lvlJc w:val="left"/>
      <w:pPr>
        <w:ind w:left="720" w:hanging="360"/>
      </w:pPr>
      <w:rPr>
        <w:rFonts w:ascii="Times New Roman" w:eastAsia="Batang"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5200F7"/>
    <w:multiLevelType w:val="hybridMultilevel"/>
    <w:tmpl w:val="EA06981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9F0405"/>
    <w:multiLevelType w:val="hybridMultilevel"/>
    <w:tmpl w:val="42D8D1FA"/>
    <w:lvl w:ilvl="0" w:tplc="04090017">
      <w:start w:val="1"/>
      <w:numFmt w:val="lowerLetter"/>
      <w:lvlText w:val="%1)"/>
      <w:lvlJc w:val="left"/>
      <w:pPr>
        <w:tabs>
          <w:tab w:val="num" w:pos="720"/>
        </w:tabs>
        <w:ind w:left="720" w:hanging="360"/>
      </w:pPr>
      <w:rPr>
        <w:rFonts w:hint="default"/>
      </w:rPr>
    </w:lvl>
    <w:lvl w:ilvl="1" w:tplc="E7F66704">
      <w:start w:val="80"/>
      <w:numFmt w:val="bullet"/>
      <w:lvlText w:val=""/>
      <w:lvlJc w:val="left"/>
      <w:pPr>
        <w:tabs>
          <w:tab w:val="num" w:pos="1440"/>
        </w:tabs>
        <w:ind w:left="1440" w:hanging="360"/>
      </w:pPr>
      <w:rPr>
        <w:rFonts w:ascii="Wingdings" w:hAnsi="Wingdings" w:hint="default"/>
      </w:rPr>
    </w:lvl>
    <w:lvl w:ilvl="2" w:tplc="91DA01C6">
      <w:start w:val="80"/>
      <w:numFmt w:val="bullet"/>
      <w:lvlText w:val=""/>
      <w:lvlJc w:val="left"/>
      <w:pPr>
        <w:tabs>
          <w:tab w:val="num" w:pos="2160"/>
        </w:tabs>
        <w:ind w:left="2160" w:hanging="360"/>
      </w:pPr>
      <w:rPr>
        <w:rFonts w:ascii="Wingdings" w:hAnsi="Wingdings" w:hint="default"/>
      </w:rPr>
    </w:lvl>
    <w:lvl w:ilvl="3" w:tplc="435EEA4E">
      <w:numFmt w:val="bullet"/>
      <w:lvlText w:val="-"/>
      <w:lvlJc w:val="left"/>
      <w:pPr>
        <w:ind w:left="2880" w:hanging="360"/>
      </w:pPr>
      <w:rPr>
        <w:rFonts w:ascii="Calibri" w:eastAsiaTheme="minorEastAsia" w:hAnsi="Calibri" w:cstheme="minorBidi" w:hint="default"/>
      </w:rPr>
    </w:lvl>
    <w:lvl w:ilvl="4" w:tplc="4A005610" w:tentative="1">
      <w:start w:val="1"/>
      <w:numFmt w:val="bullet"/>
      <w:lvlText w:val="•"/>
      <w:lvlJc w:val="left"/>
      <w:pPr>
        <w:tabs>
          <w:tab w:val="num" w:pos="3600"/>
        </w:tabs>
        <w:ind w:left="3600" w:hanging="360"/>
      </w:pPr>
      <w:rPr>
        <w:rFonts w:ascii="Arial" w:hAnsi="Arial" w:hint="default"/>
      </w:rPr>
    </w:lvl>
    <w:lvl w:ilvl="5" w:tplc="1BC8383C" w:tentative="1">
      <w:start w:val="1"/>
      <w:numFmt w:val="bullet"/>
      <w:lvlText w:val="•"/>
      <w:lvlJc w:val="left"/>
      <w:pPr>
        <w:tabs>
          <w:tab w:val="num" w:pos="4320"/>
        </w:tabs>
        <w:ind w:left="4320" w:hanging="360"/>
      </w:pPr>
      <w:rPr>
        <w:rFonts w:ascii="Arial" w:hAnsi="Arial" w:hint="default"/>
      </w:rPr>
    </w:lvl>
    <w:lvl w:ilvl="6" w:tplc="B68A41CE" w:tentative="1">
      <w:start w:val="1"/>
      <w:numFmt w:val="bullet"/>
      <w:lvlText w:val="•"/>
      <w:lvlJc w:val="left"/>
      <w:pPr>
        <w:tabs>
          <w:tab w:val="num" w:pos="5040"/>
        </w:tabs>
        <w:ind w:left="5040" w:hanging="360"/>
      </w:pPr>
      <w:rPr>
        <w:rFonts w:ascii="Arial" w:hAnsi="Arial" w:hint="default"/>
      </w:rPr>
    </w:lvl>
    <w:lvl w:ilvl="7" w:tplc="DE12EA66" w:tentative="1">
      <w:start w:val="1"/>
      <w:numFmt w:val="bullet"/>
      <w:lvlText w:val="•"/>
      <w:lvlJc w:val="left"/>
      <w:pPr>
        <w:tabs>
          <w:tab w:val="num" w:pos="5760"/>
        </w:tabs>
        <w:ind w:left="5760" w:hanging="360"/>
      </w:pPr>
      <w:rPr>
        <w:rFonts w:ascii="Arial" w:hAnsi="Arial" w:hint="default"/>
      </w:rPr>
    </w:lvl>
    <w:lvl w:ilvl="8" w:tplc="CFDE36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CE806B3"/>
    <w:multiLevelType w:val="hybridMultilevel"/>
    <w:tmpl w:val="1CE62D7A"/>
    <w:lvl w:ilvl="0" w:tplc="831098B0">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BA4694"/>
    <w:multiLevelType w:val="hybridMultilevel"/>
    <w:tmpl w:val="A6A0D8C2"/>
    <w:lvl w:ilvl="0" w:tplc="65F4C28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4"/>
  </w:num>
  <w:num w:numId="3">
    <w:abstractNumId w:val="16"/>
  </w:num>
  <w:num w:numId="4">
    <w:abstractNumId w:val="6"/>
  </w:num>
  <w:num w:numId="5">
    <w:abstractNumId w:val="11"/>
  </w:num>
  <w:num w:numId="6">
    <w:abstractNumId w:val="19"/>
  </w:num>
  <w:num w:numId="7">
    <w:abstractNumId w:val="12"/>
  </w:num>
  <w:num w:numId="8">
    <w:abstractNumId w:val="9"/>
  </w:num>
  <w:num w:numId="9">
    <w:abstractNumId w:val="0"/>
  </w:num>
  <w:num w:numId="10">
    <w:abstractNumId w:val="18"/>
  </w:num>
  <w:num w:numId="11">
    <w:abstractNumId w:val="8"/>
  </w:num>
  <w:num w:numId="12">
    <w:abstractNumId w:val="10"/>
  </w:num>
  <w:num w:numId="13">
    <w:abstractNumId w:val="3"/>
  </w:num>
  <w:num w:numId="14">
    <w:abstractNumId w:val="4"/>
  </w:num>
  <w:num w:numId="15">
    <w:abstractNumId w:val="13"/>
  </w:num>
  <w:num w:numId="16">
    <w:abstractNumId w:val="2"/>
  </w:num>
  <w:num w:numId="17">
    <w:abstractNumId w:val="5"/>
  </w:num>
  <w:num w:numId="18">
    <w:abstractNumId w:val="17"/>
  </w:num>
  <w:num w:numId="19">
    <w:abstractNumId w:val="15"/>
  </w:num>
  <w:num w:numId="20">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DA"/>
    <w:rsid w:val="00000C65"/>
    <w:rsid w:val="00005169"/>
    <w:rsid w:val="00010036"/>
    <w:rsid w:val="00024FB5"/>
    <w:rsid w:val="000347A1"/>
    <w:rsid w:val="000405B5"/>
    <w:rsid w:val="0004541B"/>
    <w:rsid w:val="00046609"/>
    <w:rsid w:val="00054196"/>
    <w:rsid w:val="000546DF"/>
    <w:rsid w:val="00062941"/>
    <w:rsid w:val="000649AC"/>
    <w:rsid w:val="00076639"/>
    <w:rsid w:val="00076BB5"/>
    <w:rsid w:val="00080792"/>
    <w:rsid w:val="00085741"/>
    <w:rsid w:val="000865D2"/>
    <w:rsid w:val="00090C3D"/>
    <w:rsid w:val="000B014F"/>
    <w:rsid w:val="000B01BC"/>
    <w:rsid w:val="000B09FD"/>
    <w:rsid w:val="000B19A7"/>
    <w:rsid w:val="000C050C"/>
    <w:rsid w:val="000C1812"/>
    <w:rsid w:val="000C1849"/>
    <w:rsid w:val="000D1B25"/>
    <w:rsid w:val="000D2F53"/>
    <w:rsid w:val="000D45F8"/>
    <w:rsid w:val="000E1597"/>
    <w:rsid w:val="000E773D"/>
    <w:rsid w:val="000F0118"/>
    <w:rsid w:val="000F0BEE"/>
    <w:rsid w:val="000F0C1A"/>
    <w:rsid w:val="000F0DCA"/>
    <w:rsid w:val="000F126F"/>
    <w:rsid w:val="000F4A47"/>
    <w:rsid w:val="000F4A9D"/>
    <w:rsid w:val="000F6964"/>
    <w:rsid w:val="001000E0"/>
    <w:rsid w:val="00102977"/>
    <w:rsid w:val="00102A09"/>
    <w:rsid w:val="0010348C"/>
    <w:rsid w:val="00104AD1"/>
    <w:rsid w:val="00105D1A"/>
    <w:rsid w:val="00115DC0"/>
    <w:rsid w:val="001168EB"/>
    <w:rsid w:val="001249F8"/>
    <w:rsid w:val="00135B4C"/>
    <w:rsid w:val="001400BC"/>
    <w:rsid w:val="00140689"/>
    <w:rsid w:val="00140C63"/>
    <w:rsid w:val="00146FB1"/>
    <w:rsid w:val="001479C4"/>
    <w:rsid w:val="001537E3"/>
    <w:rsid w:val="00155911"/>
    <w:rsid w:val="0016067F"/>
    <w:rsid w:val="001646BD"/>
    <w:rsid w:val="0016592F"/>
    <w:rsid w:val="00172265"/>
    <w:rsid w:val="001746E0"/>
    <w:rsid w:val="00174CD5"/>
    <w:rsid w:val="00175316"/>
    <w:rsid w:val="00176E02"/>
    <w:rsid w:val="00180334"/>
    <w:rsid w:val="0018064C"/>
    <w:rsid w:val="00182510"/>
    <w:rsid w:val="00187091"/>
    <w:rsid w:val="00192ADF"/>
    <w:rsid w:val="00192FA5"/>
    <w:rsid w:val="00194E42"/>
    <w:rsid w:val="00197432"/>
    <w:rsid w:val="001B0F63"/>
    <w:rsid w:val="001B1E4C"/>
    <w:rsid w:val="001B4CD7"/>
    <w:rsid w:val="001B543D"/>
    <w:rsid w:val="001B6BE9"/>
    <w:rsid w:val="001C3C2E"/>
    <w:rsid w:val="001C7145"/>
    <w:rsid w:val="001C7234"/>
    <w:rsid w:val="001C76C4"/>
    <w:rsid w:val="001C7B19"/>
    <w:rsid w:val="001D08B6"/>
    <w:rsid w:val="001D09D2"/>
    <w:rsid w:val="001D4B21"/>
    <w:rsid w:val="001D6A6A"/>
    <w:rsid w:val="001E0F87"/>
    <w:rsid w:val="001E5E01"/>
    <w:rsid w:val="001E64C6"/>
    <w:rsid w:val="001E76BA"/>
    <w:rsid w:val="001F2641"/>
    <w:rsid w:val="001F7F0E"/>
    <w:rsid w:val="00202DE3"/>
    <w:rsid w:val="0020660C"/>
    <w:rsid w:val="00207676"/>
    <w:rsid w:val="00212063"/>
    <w:rsid w:val="00213C38"/>
    <w:rsid w:val="00220AA0"/>
    <w:rsid w:val="00226791"/>
    <w:rsid w:val="00226C59"/>
    <w:rsid w:val="0023149B"/>
    <w:rsid w:val="00232B79"/>
    <w:rsid w:val="00240AA2"/>
    <w:rsid w:val="0024141C"/>
    <w:rsid w:val="00242FE6"/>
    <w:rsid w:val="00245B83"/>
    <w:rsid w:val="0024729E"/>
    <w:rsid w:val="002506F4"/>
    <w:rsid w:val="002516D7"/>
    <w:rsid w:val="00253DA5"/>
    <w:rsid w:val="00261235"/>
    <w:rsid w:val="00264F79"/>
    <w:rsid w:val="00273BD3"/>
    <w:rsid w:val="002762B4"/>
    <w:rsid w:val="00283155"/>
    <w:rsid w:val="00284683"/>
    <w:rsid w:val="002846E6"/>
    <w:rsid w:val="00284AD2"/>
    <w:rsid w:val="00284B4C"/>
    <w:rsid w:val="0029033B"/>
    <w:rsid w:val="00291B44"/>
    <w:rsid w:val="00292E65"/>
    <w:rsid w:val="002941D9"/>
    <w:rsid w:val="00295CC3"/>
    <w:rsid w:val="002968AA"/>
    <w:rsid w:val="002A1F0B"/>
    <w:rsid w:val="002A25FC"/>
    <w:rsid w:val="002A34AE"/>
    <w:rsid w:val="002B22EB"/>
    <w:rsid w:val="002B242E"/>
    <w:rsid w:val="002B2C93"/>
    <w:rsid w:val="002B36AA"/>
    <w:rsid w:val="002B5C3D"/>
    <w:rsid w:val="002B6D44"/>
    <w:rsid w:val="002C2AE0"/>
    <w:rsid w:val="002C2C5B"/>
    <w:rsid w:val="002C7604"/>
    <w:rsid w:val="002D2541"/>
    <w:rsid w:val="002D3B17"/>
    <w:rsid w:val="002D4067"/>
    <w:rsid w:val="002D47ED"/>
    <w:rsid w:val="002D59CD"/>
    <w:rsid w:val="002D6610"/>
    <w:rsid w:val="002D661B"/>
    <w:rsid w:val="002D7E4E"/>
    <w:rsid w:val="0030758A"/>
    <w:rsid w:val="0031228F"/>
    <w:rsid w:val="003130AC"/>
    <w:rsid w:val="00316D42"/>
    <w:rsid w:val="0032219F"/>
    <w:rsid w:val="0032234C"/>
    <w:rsid w:val="003265F9"/>
    <w:rsid w:val="00326A4A"/>
    <w:rsid w:val="00327014"/>
    <w:rsid w:val="0033255E"/>
    <w:rsid w:val="00336C24"/>
    <w:rsid w:val="003404D1"/>
    <w:rsid w:val="003421FB"/>
    <w:rsid w:val="00342951"/>
    <w:rsid w:val="003448C3"/>
    <w:rsid w:val="00352A17"/>
    <w:rsid w:val="0035348B"/>
    <w:rsid w:val="003573AC"/>
    <w:rsid w:val="00361500"/>
    <w:rsid w:val="00370F46"/>
    <w:rsid w:val="003738BD"/>
    <w:rsid w:val="00374CAF"/>
    <w:rsid w:val="00376D4A"/>
    <w:rsid w:val="0038509B"/>
    <w:rsid w:val="003862A0"/>
    <w:rsid w:val="00386B9E"/>
    <w:rsid w:val="00386CD4"/>
    <w:rsid w:val="00387834"/>
    <w:rsid w:val="0039045C"/>
    <w:rsid w:val="0039428B"/>
    <w:rsid w:val="0039564A"/>
    <w:rsid w:val="00395954"/>
    <w:rsid w:val="00396752"/>
    <w:rsid w:val="003A1433"/>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11B5F"/>
    <w:rsid w:val="00411BBF"/>
    <w:rsid w:val="00411BDC"/>
    <w:rsid w:val="00415ED9"/>
    <w:rsid w:val="0042236B"/>
    <w:rsid w:val="00425C49"/>
    <w:rsid w:val="00431E30"/>
    <w:rsid w:val="00442875"/>
    <w:rsid w:val="00443F0D"/>
    <w:rsid w:val="004536AD"/>
    <w:rsid w:val="00460FE1"/>
    <w:rsid w:val="00464241"/>
    <w:rsid w:val="00466170"/>
    <w:rsid w:val="00471619"/>
    <w:rsid w:val="004740F9"/>
    <w:rsid w:val="004A2ADB"/>
    <w:rsid w:val="004A3207"/>
    <w:rsid w:val="004A33BD"/>
    <w:rsid w:val="004A372D"/>
    <w:rsid w:val="004A593B"/>
    <w:rsid w:val="004B23BB"/>
    <w:rsid w:val="004B57D8"/>
    <w:rsid w:val="004B59A4"/>
    <w:rsid w:val="004B6D9D"/>
    <w:rsid w:val="004C04DD"/>
    <w:rsid w:val="004C7A6D"/>
    <w:rsid w:val="004D3EFF"/>
    <w:rsid w:val="004D64EE"/>
    <w:rsid w:val="004E43A2"/>
    <w:rsid w:val="004E6952"/>
    <w:rsid w:val="004E7F57"/>
    <w:rsid w:val="004F517B"/>
    <w:rsid w:val="004F53EC"/>
    <w:rsid w:val="004F6FF3"/>
    <w:rsid w:val="005012A4"/>
    <w:rsid w:val="0050200A"/>
    <w:rsid w:val="005117E2"/>
    <w:rsid w:val="0051311A"/>
    <w:rsid w:val="00514776"/>
    <w:rsid w:val="005147C9"/>
    <w:rsid w:val="00515025"/>
    <w:rsid w:val="005168BE"/>
    <w:rsid w:val="00517AAE"/>
    <w:rsid w:val="00517B8C"/>
    <w:rsid w:val="0052078B"/>
    <w:rsid w:val="00520FA3"/>
    <w:rsid w:val="00525E9C"/>
    <w:rsid w:val="00533B6F"/>
    <w:rsid w:val="0053414D"/>
    <w:rsid w:val="00541F33"/>
    <w:rsid w:val="005443FC"/>
    <w:rsid w:val="00546D32"/>
    <w:rsid w:val="00552E9A"/>
    <w:rsid w:val="0055521A"/>
    <w:rsid w:val="00555B23"/>
    <w:rsid w:val="00556434"/>
    <w:rsid w:val="00560467"/>
    <w:rsid w:val="00564E64"/>
    <w:rsid w:val="005666EE"/>
    <w:rsid w:val="00566AFD"/>
    <w:rsid w:val="00566CDD"/>
    <w:rsid w:val="0057260B"/>
    <w:rsid w:val="0057347E"/>
    <w:rsid w:val="00585805"/>
    <w:rsid w:val="00586712"/>
    <w:rsid w:val="00586F06"/>
    <w:rsid w:val="00590AD9"/>
    <w:rsid w:val="00592093"/>
    <w:rsid w:val="00595CBD"/>
    <w:rsid w:val="005A151F"/>
    <w:rsid w:val="005A2D1B"/>
    <w:rsid w:val="005A3701"/>
    <w:rsid w:val="005A3F13"/>
    <w:rsid w:val="005A5B79"/>
    <w:rsid w:val="005A6801"/>
    <w:rsid w:val="005B12E9"/>
    <w:rsid w:val="005C0033"/>
    <w:rsid w:val="005C025E"/>
    <w:rsid w:val="005C6B6E"/>
    <w:rsid w:val="005D45AB"/>
    <w:rsid w:val="005D4F35"/>
    <w:rsid w:val="005D6939"/>
    <w:rsid w:val="005E3026"/>
    <w:rsid w:val="005E78F7"/>
    <w:rsid w:val="005F15A4"/>
    <w:rsid w:val="005F29AE"/>
    <w:rsid w:val="005F334A"/>
    <w:rsid w:val="005F34A5"/>
    <w:rsid w:val="005F39C4"/>
    <w:rsid w:val="005F5660"/>
    <w:rsid w:val="005F74C0"/>
    <w:rsid w:val="005F7E68"/>
    <w:rsid w:val="00602978"/>
    <w:rsid w:val="00613A4F"/>
    <w:rsid w:val="00616650"/>
    <w:rsid w:val="00627EA0"/>
    <w:rsid w:val="00631A2C"/>
    <w:rsid w:val="00641373"/>
    <w:rsid w:val="006437B0"/>
    <w:rsid w:val="006453DE"/>
    <w:rsid w:val="00646C47"/>
    <w:rsid w:val="0066013F"/>
    <w:rsid w:val="00660539"/>
    <w:rsid w:val="00665E65"/>
    <w:rsid w:val="0066600C"/>
    <w:rsid w:val="00670A88"/>
    <w:rsid w:val="00672992"/>
    <w:rsid w:val="00672FCB"/>
    <w:rsid w:val="0067533B"/>
    <w:rsid w:val="0067767E"/>
    <w:rsid w:val="0068200A"/>
    <w:rsid w:val="0068459D"/>
    <w:rsid w:val="00686D44"/>
    <w:rsid w:val="00690DBE"/>
    <w:rsid w:val="00690DBF"/>
    <w:rsid w:val="00693518"/>
    <w:rsid w:val="006A0384"/>
    <w:rsid w:val="006A35BC"/>
    <w:rsid w:val="006A4AB9"/>
    <w:rsid w:val="006A55FF"/>
    <w:rsid w:val="006A5934"/>
    <w:rsid w:val="006A761D"/>
    <w:rsid w:val="006B0026"/>
    <w:rsid w:val="006B2FCC"/>
    <w:rsid w:val="006B4661"/>
    <w:rsid w:val="006B7EEB"/>
    <w:rsid w:val="006C18B3"/>
    <w:rsid w:val="006C5135"/>
    <w:rsid w:val="006C5275"/>
    <w:rsid w:val="006C54B3"/>
    <w:rsid w:val="006D0B3A"/>
    <w:rsid w:val="006E10D5"/>
    <w:rsid w:val="006E2BCF"/>
    <w:rsid w:val="006E30B4"/>
    <w:rsid w:val="006F01C4"/>
    <w:rsid w:val="006F0331"/>
    <w:rsid w:val="006F257A"/>
    <w:rsid w:val="006F67D5"/>
    <w:rsid w:val="006F6BC8"/>
    <w:rsid w:val="006F7B73"/>
    <w:rsid w:val="00704D1E"/>
    <w:rsid w:val="00707BD4"/>
    <w:rsid w:val="00714EC7"/>
    <w:rsid w:val="00716147"/>
    <w:rsid w:val="00716400"/>
    <w:rsid w:val="00724624"/>
    <w:rsid w:val="0073101D"/>
    <w:rsid w:val="00731700"/>
    <w:rsid w:val="0074040A"/>
    <w:rsid w:val="0074420C"/>
    <w:rsid w:val="007453A2"/>
    <w:rsid w:val="00746B78"/>
    <w:rsid w:val="00747DF7"/>
    <w:rsid w:val="00760BDD"/>
    <w:rsid w:val="00762170"/>
    <w:rsid w:val="00765237"/>
    <w:rsid w:val="00765491"/>
    <w:rsid w:val="007734FF"/>
    <w:rsid w:val="00775995"/>
    <w:rsid w:val="00787B60"/>
    <w:rsid w:val="00794D40"/>
    <w:rsid w:val="00797046"/>
    <w:rsid w:val="007A3F4D"/>
    <w:rsid w:val="007B0AE4"/>
    <w:rsid w:val="007B36D3"/>
    <w:rsid w:val="007B67D7"/>
    <w:rsid w:val="007B692C"/>
    <w:rsid w:val="007B7925"/>
    <w:rsid w:val="007B7962"/>
    <w:rsid w:val="007B7CB3"/>
    <w:rsid w:val="007C4024"/>
    <w:rsid w:val="007C559F"/>
    <w:rsid w:val="007C699A"/>
    <w:rsid w:val="007D2708"/>
    <w:rsid w:val="007D2777"/>
    <w:rsid w:val="007E39A4"/>
    <w:rsid w:val="007E5171"/>
    <w:rsid w:val="007E5B46"/>
    <w:rsid w:val="007F00A7"/>
    <w:rsid w:val="007F73A3"/>
    <w:rsid w:val="007F7451"/>
    <w:rsid w:val="007F76BA"/>
    <w:rsid w:val="00801335"/>
    <w:rsid w:val="00804ACD"/>
    <w:rsid w:val="008068FC"/>
    <w:rsid w:val="00806D20"/>
    <w:rsid w:val="00810329"/>
    <w:rsid w:val="008114D3"/>
    <w:rsid w:val="00812677"/>
    <w:rsid w:val="00812A2B"/>
    <w:rsid w:val="008217A1"/>
    <w:rsid w:val="00822CC2"/>
    <w:rsid w:val="00824834"/>
    <w:rsid w:val="008271C1"/>
    <w:rsid w:val="00832D71"/>
    <w:rsid w:val="00843102"/>
    <w:rsid w:val="00844AC2"/>
    <w:rsid w:val="008500A0"/>
    <w:rsid w:val="00852900"/>
    <w:rsid w:val="008546A6"/>
    <w:rsid w:val="00856B32"/>
    <w:rsid w:val="0086058E"/>
    <w:rsid w:val="008623E2"/>
    <w:rsid w:val="00862695"/>
    <w:rsid w:val="00863EB3"/>
    <w:rsid w:val="00872BBA"/>
    <w:rsid w:val="00872ED8"/>
    <w:rsid w:val="00874103"/>
    <w:rsid w:val="008767A1"/>
    <w:rsid w:val="00877447"/>
    <w:rsid w:val="00880CD3"/>
    <w:rsid w:val="0088241D"/>
    <w:rsid w:val="008829EC"/>
    <w:rsid w:val="00882D82"/>
    <w:rsid w:val="00884CEC"/>
    <w:rsid w:val="008861ED"/>
    <w:rsid w:val="00887883"/>
    <w:rsid w:val="00893109"/>
    <w:rsid w:val="0089363A"/>
    <w:rsid w:val="008A244F"/>
    <w:rsid w:val="008A5298"/>
    <w:rsid w:val="008A53FD"/>
    <w:rsid w:val="008A64A0"/>
    <w:rsid w:val="008B46C8"/>
    <w:rsid w:val="008B4DC7"/>
    <w:rsid w:val="008B7CD4"/>
    <w:rsid w:val="008C26AF"/>
    <w:rsid w:val="008C2837"/>
    <w:rsid w:val="008C6AB0"/>
    <w:rsid w:val="008C7D31"/>
    <w:rsid w:val="008D5091"/>
    <w:rsid w:val="008D6F42"/>
    <w:rsid w:val="008D75F9"/>
    <w:rsid w:val="008E04BD"/>
    <w:rsid w:val="008E1066"/>
    <w:rsid w:val="008E1C33"/>
    <w:rsid w:val="008E2CAB"/>
    <w:rsid w:val="008E60EA"/>
    <w:rsid w:val="008F17FB"/>
    <w:rsid w:val="008F5D16"/>
    <w:rsid w:val="008F5DBB"/>
    <w:rsid w:val="008F770E"/>
    <w:rsid w:val="00901358"/>
    <w:rsid w:val="00907DA3"/>
    <w:rsid w:val="00916251"/>
    <w:rsid w:val="0091729F"/>
    <w:rsid w:val="00917960"/>
    <w:rsid w:val="00921859"/>
    <w:rsid w:val="00922BB1"/>
    <w:rsid w:val="00923A3D"/>
    <w:rsid w:val="009304D0"/>
    <w:rsid w:val="00930753"/>
    <w:rsid w:val="00930B01"/>
    <w:rsid w:val="009369D6"/>
    <w:rsid w:val="00942529"/>
    <w:rsid w:val="009461C7"/>
    <w:rsid w:val="0095205B"/>
    <w:rsid w:val="00956A71"/>
    <w:rsid w:val="00956FD4"/>
    <w:rsid w:val="00960554"/>
    <w:rsid w:val="009609EB"/>
    <w:rsid w:val="00962386"/>
    <w:rsid w:val="00963DD5"/>
    <w:rsid w:val="00963FA3"/>
    <w:rsid w:val="00966210"/>
    <w:rsid w:val="009773BF"/>
    <w:rsid w:val="009773D4"/>
    <w:rsid w:val="00984067"/>
    <w:rsid w:val="00984729"/>
    <w:rsid w:val="00991CA9"/>
    <w:rsid w:val="00997957"/>
    <w:rsid w:val="009A0157"/>
    <w:rsid w:val="009A0B47"/>
    <w:rsid w:val="009A0CE6"/>
    <w:rsid w:val="009A1854"/>
    <w:rsid w:val="009A1B68"/>
    <w:rsid w:val="009A21CD"/>
    <w:rsid w:val="009A307A"/>
    <w:rsid w:val="009B46B8"/>
    <w:rsid w:val="009B6C84"/>
    <w:rsid w:val="009C49D4"/>
    <w:rsid w:val="009C690E"/>
    <w:rsid w:val="009C75E6"/>
    <w:rsid w:val="009D26C8"/>
    <w:rsid w:val="009D42C4"/>
    <w:rsid w:val="009D522D"/>
    <w:rsid w:val="009D6733"/>
    <w:rsid w:val="009E014B"/>
    <w:rsid w:val="009E0AC8"/>
    <w:rsid w:val="009E285D"/>
    <w:rsid w:val="009F3788"/>
    <w:rsid w:val="009F4B62"/>
    <w:rsid w:val="009F557F"/>
    <w:rsid w:val="009F6111"/>
    <w:rsid w:val="009F7062"/>
    <w:rsid w:val="00A007EE"/>
    <w:rsid w:val="00A01BDA"/>
    <w:rsid w:val="00A07825"/>
    <w:rsid w:val="00A07DF1"/>
    <w:rsid w:val="00A1112C"/>
    <w:rsid w:val="00A12773"/>
    <w:rsid w:val="00A13FB5"/>
    <w:rsid w:val="00A16563"/>
    <w:rsid w:val="00A1681D"/>
    <w:rsid w:val="00A16FCA"/>
    <w:rsid w:val="00A177A4"/>
    <w:rsid w:val="00A204DF"/>
    <w:rsid w:val="00A2684D"/>
    <w:rsid w:val="00A32EDC"/>
    <w:rsid w:val="00A34E5E"/>
    <w:rsid w:val="00A35AB0"/>
    <w:rsid w:val="00A418C4"/>
    <w:rsid w:val="00A62973"/>
    <w:rsid w:val="00A67DCC"/>
    <w:rsid w:val="00A7315B"/>
    <w:rsid w:val="00A73436"/>
    <w:rsid w:val="00A77CA0"/>
    <w:rsid w:val="00A86D5E"/>
    <w:rsid w:val="00A93F0B"/>
    <w:rsid w:val="00AA6EE9"/>
    <w:rsid w:val="00AA70A2"/>
    <w:rsid w:val="00AB1118"/>
    <w:rsid w:val="00AB12A9"/>
    <w:rsid w:val="00AB13AE"/>
    <w:rsid w:val="00AB1894"/>
    <w:rsid w:val="00AC013B"/>
    <w:rsid w:val="00AC2E8F"/>
    <w:rsid w:val="00AC3BC9"/>
    <w:rsid w:val="00AC4572"/>
    <w:rsid w:val="00AC5EF7"/>
    <w:rsid w:val="00AD02E8"/>
    <w:rsid w:val="00AD234B"/>
    <w:rsid w:val="00AD327B"/>
    <w:rsid w:val="00AD564A"/>
    <w:rsid w:val="00AE6379"/>
    <w:rsid w:val="00AE656C"/>
    <w:rsid w:val="00AE680A"/>
    <w:rsid w:val="00AE68AE"/>
    <w:rsid w:val="00AF0077"/>
    <w:rsid w:val="00AF16E4"/>
    <w:rsid w:val="00AF2641"/>
    <w:rsid w:val="00AF35A3"/>
    <w:rsid w:val="00AF3A9B"/>
    <w:rsid w:val="00AF77AA"/>
    <w:rsid w:val="00B04064"/>
    <w:rsid w:val="00B0771B"/>
    <w:rsid w:val="00B114BD"/>
    <w:rsid w:val="00B1482A"/>
    <w:rsid w:val="00B2045E"/>
    <w:rsid w:val="00B20D55"/>
    <w:rsid w:val="00B30078"/>
    <w:rsid w:val="00B32EAD"/>
    <w:rsid w:val="00B347CC"/>
    <w:rsid w:val="00B43F5E"/>
    <w:rsid w:val="00B535AE"/>
    <w:rsid w:val="00B53850"/>
    <w:rsid w:val="00B53A82"/>
    <w:rsid w:val="00B61D3E"/>
    <w:rsid w:val="00B6371A"/>
    <w:rsid w:val="00B63FCA"/>
    <w:rsid w:val="00B67458"/>
    <w:rsid w:val="00B6762B"/>
    <w:rsid w:val="00B72BB2"/>
    <w:rsid w:val="00B75BEA"/>
    <w:rsid w:val="00B81FCD"/>
    <w:rsid w:val="00B90BB1"/>
    <w:rsid w:val="00B96109"/>
    <w:rsid w:val="00B976B6"/>
    <w:rsid w:val="00BA0275"/>
    <w:rsid w:val="00BA15EF"/>
    <w:rsid w:val="00BA1944"/>
    <w:rsid w:val="00BA6244"/>
    <w:rsid w:val="00BB17BC"/>
    <w:rsid w:val="00BB54D6"/>
    <w:rsid w:val="00BB780B"/>
    <w:rsid w:val="00BC1EEF"/>
    <w:rsid w:val="00BC2FA1"/>
    <w:rsid w:val="00BC384C"/>
    <w:rsid w:val="00BC3F61"/>
    <w:rsid w:val="00BC68A0"/>
    <w:rsid w:val="00BC6ADC"/>
    <w:rsid w:val="00BD07E5"/>
    <w:rsid w:val="00BD0E0A"/>
    <w:rsid w:val="00BD319C"/>
    <w:rsid w:val="00BD36AA"/>
    <w:rsid w:val="00BD48BE"/>
    <w:rsid w:val="00BF02CB"/>
    <w:rsid w:val="00BF545C"/>
    <w:rsid w:val="00BF7014"/>
    <w:rsid w:val="00C03A02"/>
    <w:rsid w:val="00C12B93"/>
    <w:rsid w:val="00C1385D"/>
    <w:rsid w:val="00C13E7B"/>
    <w:rsid w:val="00C15FAD"/>
    <w:rsid w:val="00C172EF"/>
    <w:rsid w:val="00C20CC5"/>
    <w:rsid w:val="00C2154D"/>
    <w:rsid w:val="00C21676"/>
    <w:rsid w:val="00C21EFA"/>
    <w:rsid w:val="00C25F6A"/>
    <w:rsid w:val="00C27D33"/>
    <w:rsid w:val="00C3467B"/>
    <w:rsid w:val="00C3567D"/>
    <w:rsid w:val="00C356A8"/>
    <w:rsid w:val="00C35792"/>
    <w:rsid w:val="00C36EF6"/>
    <w:rsid w:val="00C371D8"/>
    <w:rsid w:val="00C40C21"/>
    <w:rsid w:val="00C45635"/>
    <w:rsid w:val="00C47D07"/>
    <w:rsid w:val="00C52A55"/>
    <w:rsid w:val="00C5690E"/>
    <w:rsid w:val="00C700E2"/>
    <w:rsid w:val="00C768E2"/>
    <w:rsid w:val="00C76FCB"/>
    <w:rsid w:val="00C80D0D"/>
    <w:rsid w:val="00C84DF6"/>
    <w:rsid w:val="00C86F0A"/>
    <w:rsid w:val="00C874E7"/>
    <w:rsid w:val="00C9012D"/>
    <w:rsid w:val="00C947B1"/>
    <w:rsid w:val="00C94A95"/>
    <w:rsid w:val="00C958CA"/>
    <w:rsid w:val="00C971FF"/>
    <w:rsid w:val="00CA132E"/>
    <w:rsid w:val="00CA578A"/>
    <w:rsid w:val="00CA5DAE"/>
    <w:rsid w:val="00CA6690"/>
    <w:rsid w:val="00CA7335"/>
    <w:rsid w:val="00CB4EAD"/>
    <w:rsid w:val="00CB5159"/>
    <w:rsid w:val="00CB52D3"/>
    <w:rsid w:val="00CB5F9C"/>
    <w:rsid w:val="00CB66E6"/>
    <w:rsid w:val="00CC0608"/>
    <w:rsid w:val="00CC0622"/>
    <w:rsid w:val="00CC116B"/>
    <w:rsid w:val="00CC375F"/>
    <w:rsid w:val="00CC47B0"/>
    <w:rsid w:val="00CC67A2"/>
    <w:rsid w:val="00CC713E"/>
    <w:rsid w:val="00CD121E"/>
    <w:rsid w:val="00CD216C"/>
    <w:rsid w:val="00CD439E"/>
    <w:rsid w:val="00CD6394"/>
    <w:rsid w:val="00CD7620"/>
    <w:rsid w:val="00CE2548"/>
    <w:rsid w:val="00CE59CF"/>
    <w:rsid w:val="00CF2C30"/>
    <w:rsid w:val="00CF2EEA"/>
    <w:rsid w:val="00CF7511"/>
    <w:rsid w:val="00D0010A"/>
    <w:rsid w:val="00D02C94"/>
    <w:rsid w:val="00D10C11"/>
    <w:rsid w:val="00D11251"/>
    <w:rsid w:val="00D11500"/>
    <w:rsid w:val="00D11CAC"/>
    <w:rsid w:val="00D121B5"/>
    <w:rsid w:val="00D25765"/>
    <w:rsid w:val="00D314EA"/>
    <w:rsid w:val="00D33DED"/>
    <w:rsid w:val="00D36668"/>
    <w:rsid w:val="00D43950"/>
    <w:rsid w:val="00D45334"/>
    <w:rsid w:val="00D46134"/>
    <w:rsid w:val="00D506FC"/>
    <w:rsid w:val="00D51EEA"/>
    <w:rsid w:val="00D527D6"/>
    <w:rsid w:val="00D53DEF"/>
    <w:rsid w:val="00D5457C"/>
    <w:rsid w:val="00D55310"/>
    <w:rsid w:val="00D5747C"/>
    <w:rsid w:val="00D605A1"/>
    <w:rsid w:val="00D6271A"/>
    <w:rsid w:val="00D63C1A"/>
    <w:rsid w:val="00D7363A"/>
    <w:rsid w:val="00D76012"/>
    <w:rsid w:val="00D81B33"/>
    <w:rsid w:val="00D83461"/>
    <w:rsid w:val="00D90740"/>
    <w:rsid w:val="00D90939"/>
    <w:rsid w:val="00D90A93"/>
    <w:rsid w:val="00D9238B"/>
    <w:rsid w:val="00D973D5"/>
    <w:rsid w:val="00DA1796"/>
    <w:rsid w:val="00DB1D56"/>
    <w:rsid w:val="00DB2B00"/>
    <w:rsid w:val="00DB3813"/>
    <w:rsid w:val="00DB467D"/>
    <w:rsid w:val="00DB4AB4"/>
    <w:rsid w:val="00DC6B8A"/>
    <w:rsid w:val="00DD131E"/>
    <w:rsid w:val="00DD6402"/>
    <w:rsid w:val="00DE36BE"/>
    <w:rsid w:val="00DF4531"/>
    <w:rsid w:val="00DF7B2A"/>
    <w:rsid w:val="00E01B78"/>
    <w:rsid w:val="00E0292B"/>
    <w:rsid w:val="00E0321B"/>
    <w:rsid w:val="00E03AE0"/>
    <w:rsid w:val="00E046A9"/>
    <w:rsid w:val="00E11E4E"/>
    <w:rsid w:val="00E1381F"/>
    <w:rsid w:val="00E141BA"/>
    <w:rsid w:val="00E1774C"/>
    <w:rsid w:val="00E20BE5"/>
    <w:rsid w:val="00E24D1B"/>
    <w:rsid w:val="00E33F76"/>
    <w:rsid w:val="00E35B99"/>
    <w:rsid w:val="00E41518"/>
    <w:rsid w:val="00E421E5"/>
    <w:rsid w:val="00E4404E"/>
    <w:rsid w:val="00E46F73"/>
    <w:rsid w:val="00E475C1"/>
    <w:rsid w:val="00E47A17"/>
    <w:rsid w:val="00E500A6"/>
    <w:rsid w:val="00E50E6A"/>
    <w:rsid w:val="00E518CA"/>
    <w:rsid w:val="00E54585"/>
    <w:rsid w:val="00E550B8"/>
    <w:rsid w:val="00E555C6"/>
    <w:rsid w:val="00E66448"/>
    <w:rsid w:val="00E66B36"/>
    <w:rsid w:val="00E74739"/>
    <w:rsid w:val="00E776BB"/>
    <w:rsid w:val="00E8318D"/>
    <w:rsid w:val="00E83784"/>
    <w:rsid w:val="00E84ACF"/>
    <w:rsid w:val="00E9127C"/>
    <w:rsid w:val="00E93A49"/>
    <w:rsid w:val="00EA148B"/>
    <w:rsid w:val="00EA608F"/>
    <w:rsid w:val="00EB17E1"/>
    <w:rsid w:val="00EB2893"/>
    <w:rsid w:val="00EB2A8B"/>
    <w:rsid w:val="00EB2BB1"/>
    <w:rsid w:val="00EB428F"/>
    <w:rsid w:val="00EB725D"/>
    <w:rsid w:val="00EC0D5B"/>
    <w:rsid w:val="00EC0DE7"/>
    <w:rsid w:val="00EC6DCD"/>
    <w:rsid w:val="00EC6E24"/>
    <w:rsid w:val="00EC70C3"/>
    <w:rsid w:val="00ED1342"/>
    <w:rsid w:val="00ED3318"/>
    <w:rsid w:val="00ED5A2E"/>
    <w:rsid w:val="00ED6A32"/>
    <w:rsid w:val="00EF4627"/>
    <w:rsid w:val="00F01FCB"/>
    <w:rsid w:val="00F02D59"/>
    <w:rsid w:val="00F14D45"/>
    <w:rsid w:val="00F15E5A"/>
    <w:rsid w:val="00F25C1A"/>
    <w:rsid w:val="00F35722"/>
    <w:rsid w:val="00F36543"/>
    <w:rsid w:val="00F40D66"/>
    <w:rsid w:val="00F41497"/>
    <w:rsid w:val="00F42850"/>
    <w:rsid w:val="00F43572"/>
    <w:rsid w:val="00F50D32"/>
    <w:rsid w:val="00F54AF4"/>
    <w:rsid w:val="00F61356"/>
    <w:rsid w:val="00F62443"/>
    <w:rsid w:val="00F6392D"/>
    <w:rsid w:val="00F63AD2"/>
    <w:rsid w:val="00F63D42"/>
    <w:rsid w:val="00F64332"/>
    <w:rsid w:val="00F6636F"/>
    <w:rsid w:val="00F72F8B"/>
    <w:rsid w:val="00F7315A"/>
    <w:rsid w:val="00F86D0E"/>
    <w:rsid w:val="00F93FBE"/>
    <w:rsid w:val="00F95D83"/>
    <w:rsid w:val="00FA2107"/>
    <w:rsid w:val="00FA2D8A"/>
    <w:rsid w:val="00FA53E8"/>
    <w:rsid w:val="00FA5BF4"/>
    <w:rsid w:val="00FB5ACA"/>
    <w:rsid w:val="00FB641E"/>
    <w:rsid w:val="00FB6EEE"/>
    <w:rsid w:val="00FB7CF2"/>
    <w:rsid w:val="00FC0002"/>
    <w:rsid w:val="00FC0802"/>
    <w:rsid w:val="00FC0FAD"/>
    <w:rsid w:val="00FC2D34"/>
    <w:rsid w:val="00FC3E2D"/>
    <w:rsid w:val="00FC6F61"/>
    <w:rsid w:val="00FE2B7D"/>
    <w:rsid w:val="00FE34EA"/>
    <w:rsid w:val="00FE72B3"/>
    <w:rsid w:val="00FF2AE8"/>
    <w:rsid w:val="00FF4782"/>
    <w:rsid w:val="00FF65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iPriority w:val="99"/>
    <w:unhideWhenUsed/>
    <w:qFormat/>
    <w:rsid w:val="00525E9C"/>
  </w:style>
  <w:style w:type="character" w:customStyle="1" w:styleId="CommentTextChar">
    <w:name w:val="Comment Text Char"/>
    <w:basedOn w:val="DefaultParagraphFont"/>
    <w:link w:val="CommentText"/>
    <w:uiPriority w:val="99"/>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rsid w:val="00FE2B7D"/>
    <w:pPr>
      <w:keepLines/>
      <w:spacing w:before="40" w:after="40"/>
      <w:jc w:val="center"/>
    </w:pPr>
    <w:rPr>
      <w:rFonts w:eastAsia="SimSun"/>
      <w:lang w:eastAsia="x-none"/>
    </w:rPr>
  </w:style>
  <w:style w:type="paragraph" w:customStyle="1" w:styleId="TAH">
    <w:name w:val="TAH"/>
    <w:basedOn w:val="TAC"/>
    <w:link w:val="TAHCar"/>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1"/>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2"/>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3"/>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2018-08-11T07:04:00Z</dcterms:created>
  <dcterms:modified xsi:type="dcterms:W3CDTF">2018-08-11T07:04:00Z</dcterms:modified>
</cp:coreProperties>
</file>